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harts/chart4.xml" ContentType="application/vnd.openxmlformats-officedocument.drawingml.chart+xml"/>
  <Default Extension="xlsx" ContentType="application/vnd.openxmlformats-officedocument.spreadsheetml.sheet"/>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8731F" w:rsidRPr="00891151" w:rsidRDefault="00D8731F" w:rsidP="00D8731F">
      <w:pPr>
        <w:spacing w:after="0" w:line="240" w:lineRule="auto"/>
        <w:jc w:val="center"/>
        <w:rPr>
          <w:rFonts w:ascii="Times New Roman" w:hAnsi="Times New Roman"/>
          <w:b/>
          <w:sz w:val="24"/>
          <w:szCs w:val="24"/>
          <w:lang w:val="en-GB"/>
        </w:rPr>
      </w:pPr>
      <w:r w:rsidRPr="00891151">
        <w:rPr>
          <w:rFonts w:ascii="Times New Roman" w:hAnsi="Times New Roman"/>
          <w:b/>
          <w:sz w:val="24"/>
          <w:szCs w:val="24"/>
          <w:lang w:val="en-GB"/>
        </w:rPr>
        <w:t>INVESTMENT OPPORTUNITY IN KUMASI, GHANA</w:t>
      </w:r>
    </w:p>
    <w:p w:rsidR="00D8731F" w:rsidRPr="00891151" w:rsidRDefault="00D8731F" w:rsidP="00D8731F">
      <w:pPr>
        <w:spacing w:after="0" w:line="240" w:lineRule="auto"/>
        <w:jc w:val="center"/>
        <w:rPr>
          <w:rFonts w:ascii="Times New Roman" w:hAnsi="Times New Roman"/>
          <w:b/>
          <w:sz w:val="24"/>
          <w:szCs w:val="24"/>
          <w:lang w:val="en-GB"/>
        </w:rPr>
      </w:pPr>
      <w:r w:rsidRPr="00891151">
        <w:rPr>
          <w:rFonts w:ascii="Times New Roman" w:hAnsi="Times New Roman"/>
          <w:b/>
          <w:sz w:val="24"/>
          <w:szCs w:val="24"/>
          <w:lang w:val="en-GB"/>
        </w:rPr>
        <w:t>BAMBOO AND BAMBOO PRODUCTS</w:t>
      </w:r>
    </w:p>
    <w:p w:rsidR="00D8731F" w:rsidRPr="00891151" w:rsidRDefault="00D8731F" w:rsidP="00D8731F">
      <w:pPr>
        <w:spacing w:after="0" w:line="240" w:lineRule="auto"/>
        <w:jc w:val="center"/>
        <w:rPr>
          <w:rFonts w:ascii="Times New Roman" w:hAnsi="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576"/>
      </w:tblGrid>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Executive Summary</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Commonly referred to as the garden city, Kumasi and its environs offer numerous investment opportunities for both local and foreign investors. Over the years</w:t>
            </w:r>
            <w:r w:rsidR="003E083F" w:rsidRPr="00891151">
              <w:rPr>
                <w:rFonts w:ascii="Times New Roman" w:hAnsi="Times New Roman"/>
                <w:sz w:val="24"/>
                <w:szCs w:val="24"/>
                <w:lang w:val="en-GB"/>
              </w:rPr>
              <w:t xml:space="preserve"> the city has been noted for its</w:t>
            </w:r>
            <w:r w:rsidRPr="00891151">
              <w:rPr>
                <w:rFonts w:ascii="Times New Roman" w:hAnsi="Times New Roman"/>
                <w:sz w:val="24"/>
                <w:szCs w:val="24"/>
                <w:lang w:val="en-GB"/>
              </w:rPr>
              <w:t xml:space="preserve"> supply of forest timber and woo</w:t>
            </w:r>
            <w:r w:rsidR="003E083F" w:rsidRPr="00891151">
              <w:rPr>
                <w:rFonts w:ascii="Times New Roman" w:hAnsi="Times New Roman"/>
                <w:sz w:val="24"/>
                <w:szCs w:val="24"/>
                <w:lang w:val="en-GB"/>
              </w:rPr>
              <w:t xml:space="preserve">d, evidenced by the number of </w:t>
            </w:r>
            <w:r w:rsidRPr="00891151">
              <w:rPr>
                <w:rFonts w:ascii="Times New Roman" w:hAnsi="Times New Roman"/>
                <w:sz w:val="24"/>
                <w:szCs w:val="24"/>
                <w:lang w:val="en-GB"/>
              </w:rPr>
              <w:t xml:space="preserve">wood and timber processing </w:t>
            </w:r>
            <w:r w:rsidR="003E083F" w:rsidRPr="00891151">
              <w:rPr>
                <w:rFonts w:ascii="Times New Roman" w:hAnsi="Times New Roman"/>
                <w:sz w:val="24"/>
                <w:szCs w:val="24"/>
                <w:lang w:val="en-GB"/>
              </w:rPr>
              <w:t>facilities that</w:t>
            </w:r>
            <w:r w:rsidRPr="00891151">
              <w:rPr>
                <w:rFonts w:ascii="Times New Roman" w:hAnsi="Times New Roman"/>
                <w:sz w:val="24"/>
                <w:szCs w:val="24"/>
                <w:lang w:val="en-GB"/>
              </w:rPr>
              <w:t xml:space="preserve"> have operated in the city over the years. </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spacing w:line="240" w:lineRule="auto"/>
              <w:rPr>
                <w:rFonts w:ascii="Times New Roman" w:hAnsi="Times New Roman"/>
                <w:sz w:val="24"/>
                <w:szCs w:val="24"/>
                <w:lang w:val="en-GB"/>
              </w:rPr>
            </w:pPr>
            <w:r w:rsidRPr="00891151">
              <w:rPr>
                <w:rFonts w:ascii="Times New Roman" w:hAnsi="Times New Roman"/>
                <w:sz w:val="24"/>
                <w:szCs w:val="24"/>
                <w:lang w:val="en-GB"/>
              </w:rPr>
              <w:t>However</w:t>
            </w:r>
            <w:r w:rsidR="003E083F" w:rsidRPr="00891151">
              <w:rPr>
                <w:rFonts w:ascii="Times New Roman" w:hAnsi="Times New Roman"/>
                <w:sz w:val="24"/>
                <w:szCs w:val="24"/>
                <w:lang w:val="en-GB"/>
              </w:rPr>
              <w:t>,</w:t>
            </w:r>
            <w:r w:rsidRPr="00891151">
              <w:rPr>
                <w:rFonts w:ascii="Times New Roman" w:hAnsi="Times New Roman"/>
                <w:sz w:val="24"/>
                <w:szCs w:val="24"/>
                <w:lang w:val="en-GB"/>
              </w:rPr>
              <w:t xml:space="preserve"> the country’s forest resources are fast declining in size and productivity partly due to </w:t>
            </w:r>
            <w:r w:rsidR="003E083F" w:rsidRPr="00891151">
              <w:rPr>
                <w:rFonts w:ascii="Times New Roman" w:hAnsi="Times New Roman"/>
                <w:sz w:val="24"/>
                <w:szCs w:val="24"/>
                <w:lang w:val="en-GB"/>
              </w:rPr>
              <w:t>illegal logging practices, over</w:t>
            </w:r>
            <w:r w:rsidRPr="00891151">
              <w:rPr>
                <w:rFonts w:ascii="Times New Roman" w:hAnsi="Times New Roman"/>
                <w:sz w:val="24"/>
                <w:szCs w:val="24"/>
                <w:lang w:val="en-GB"/>
              </w:rPr>
              <w:t xml:space="preserve">utilization of the traditional timber species (which include Wawa, </w:t>
            </w:r>
            <w:proofErr w:type="spellStart"/>
            <w:r w:rsidRPr="00891151">
              <w:rPr>
                <w:rFonts w:ascii="Times New Roman" w:hAnsi="Times New Roman"/>
                <w:sz w:val="24"/>
                <w:szCs w:val="24"/>
                <w:lang w:val="en-GB"/>
              </w:rPr>
              <w:t>Ceiba</w:t>
            </w:r>
            <w:proofErr w:type="spellEnd"/>
            <w:r w:rsidRPr="00891151">
              <w:rPr>
                <w:rFonts w:ascii="Times New Roman" w:hAnsi="Times New Roman"/>
                <w:sz w:val="24"/>
                <w:szCs w:val="24"/>
                <w:lang w:val="en-GB"/>
              </w:rPr>
              <w:t xml:space="preserve">, </w:t>
            </w:r>
            <w:proofErr w:type="spellStart"/>
            <w:r w:rsidRPr="00891151">
              <w:rPr>
                <w:rFonts w:ascii="Times New Roman" w:hAnsi="Times New Roman"/>
                <w:sz w:val="24"/>
                <w:szCs w:val="24"/>
                <w:lang w:val="en-GB"/>
              </w:rPr>
              <w:t>Asanfia</w:t>
            </w:r>
            <w:proofErr w:type="spellEnd"/>
            <w:r w:rsidRPr="00891151">
              <w:rPr>
                <w:rFonts w:ascii="Times New Roman" w:hAnsi="Times New Roman"/>
                <w:sz w:val="24"/>
                <w:szCs w:val="24"/>
                <w:lang w:val="en-GB"/>
              </w:rPr>
              <w:t xml:space="preserve">, </w:t>
            </w:r>
            <w:proofErr w:type="spellStart"/>
            <w:r w:rsidRPr="00891151">
              <w:rPr>
                <w:rFonts w:ascii="Times New Roman" w:hAnsi="Times New Roman"/>
                <w:sz w:val="24"/>
                <w:szCs w:val="24"/>
                <w:lang w:val="en-GB"/>
              </w:rPr>
              <w:t>Ofram</w:t>
            </w:r>
            <w:proofErr w:type="spellEnd"/>
            <w:r w:rsidRPr="00891151">
              <w:rPr>
                <w:rFonts w:ascii="Times New Roman" w:hAnsi="Times New Roman"/>
                <w:sz w:val="24"/>
                <w:szCs w:val="24"/>
                <w:lang w:val="en-GB"/>
              </w:rPr>
              <w:t xml:space="preserve">, Teak, Mahogany and </w:t>
            </w:r>
            <w:proofErr w:type="spellStart"/>
            <w:r w:rsidRPr="00891151">
              <w:rPr>
                <w:rFonts w:ascii="Times New Roman" w:hAnsi="Times New Roman"/>
                <w:sz w:val="24"/>
                <w:szCs w:val="24"/>
                <w:lang w:val="en-GB"/>
              </w:rPr>
              <w:t>Odum</w:t>
            </w:r>
            <w:proofErr w:type="spellEnd"/>
            <w:r w:rsidRPr="00891151">
              <w:rPr>
                <w:rFonts w:ascii="Times New Roman" w:hAnsi="Times New Roman"/>
                <w:sz w:val="24"/>
                <w:szCs w:val="24"/>
                <w:lang w:val="en-GB"/>
              </w:rPr>
              <w:t>), unregulated farming practices and illegal mining activities. The declining rate of Ghana’s forest reserves has resulted in the adoption of stricter control on timber exploitation, which has affect</w:t>
            </w:r>
            <w:r w:rsidR="003E083F" w:rsidRPr="00891151">
              <w:rPr>
                <w:rFonts w:ascii="Times New Roman" w:hAnsi="Times New Roman"/>
                <w:sz w:val="24"/>
                <w:szCs w:val="24"/>
                <w:lang w:val="en-GB"/>
              </w:rPr>
              <w:t>ed Ghana’s international timber-</w:t>
            </w:r>
            <w:r w:rsidRPr="00891151">
              <w:rPr>
                <w:rFonts w:ascii="Times New Roman" w:hAnsi="Times New Roman"/>
                <w:sz w:val="24"/>
                <w:szCs w:val="24"/>
                <w:lang w:val="en-GB"/>
              </w:rPr>
              <w:t>related products trade.</w:t>
            </w:r>
          </w:p>
          <w:p w:rsidR="00D8731F" w:rsidRPr="00891151" w:rsidRDefault="00D8731F" w:rsidP="0055464B">
            <w:pPr>
              <w:pStyle w:val="NoSpacing1"/>
              <w:rPr>
                <w:rFonts w:ascii="Times New Roman" w:hAnsi="Times New Roman"/>
                <w:sz w:val="24"/>
                <w:szCs w:val="24"/>
                <w:lang w:val="en-GB"/>
              </w:rPr>
            </w:pPr>
            <w:r w:rsidRPr="00891151">
              <w:rPr>
                <w:rFonts w:ascii="Times New Roman" w:hAnsi="Times New Roman"/>
                <w:sz w:val="24"/>
                <w:szCs w:val="24"/>
                <w:lang w:val="en-GB"/>
              </w:rPr>
              <w:t>Statistics from the Forestry Commission of Ghana indicate that the country’s forest resources</w:t>
            </w:r>
            <w:r w:rsidR="003E083F" w:rsidRPr="00891151">
              <w:rPr>
                <w:rFonts w:ascii="Times New Roman" w:hAnsi="Times New Roman"/>
                <w:sz w:val="24"/>
                <w:szCs w:val="24"/>
                <w:lang w:val="en-GB"/>
              </w:rPr>
              <w:t>,</w:t>
            </w:r>
            <w:r w:rsidRPr="00891151">
              <w:rPr>
                <w:rFonts w:ascii="Times New Roman" w:hAnsi="Times New Roman"/>
                <w:sz w:val="24"/>
                <w:szCs w:val="24"/>
                <w:lang w:val="en-GB"/>
              </w:rPr>
              <w:t xml:space="preserve"> which stood at 8 million hectares in the early 1920s</w:t>
            </w:r>
            <w:r w:rsidR="003E083F" w:rsidRPr="00891151">
              <w:rPr>
                <w:rFonts w:ascii="Times New Roman" w:hAnsi="Times New Roman"/>
                <w:sz w:val="24"/>
                <w:szCs w:val="24"/>
                <w:lang w:val="en-GB"/>
              </w:rPr>
              <w:t>,</w:t>
            </w:r>
            <w:r w:rsidRPr="00891151">
              <w:rPr>
                <w:rFonts w:ascii="Times New Roman" w:hAnsi="Times New Roman"/>
                <w:sz w:val="24"/>
                <w:szCs w:val="24"/>
                <w:lang w:val="en-GB"/>
              </w:rPr>
              <w:t xml:space="preserve"> has been reduced to an estimated 1.8 million hecta</w:t>
            </w:r>
            <w:r w:rsidR="003E083F" w:rsidRPr="00891151">
              <w:rPr>
                <w:rFonts w:ascii="Times New Roman" w:hAnsi="Times New Roman"/>
                <w:sz w:val="24"/>
                <w:szCs w:val="24"/>
                <w:lang w:val="en-GB"/>
              </w:rPr>
              <w:t>res as of 2010/11 (both on and o</w:t>
            </w:r>
            <w:r w:rsidRPr="00891151">
              <w:rPr>
                <w:rFonts w:ascii="Times New Roman" w:hAnsi="Times New Roman"/>
                <w:sz w:val="24"/>
                <w:szCs w:val="24"/>
                <w:lang w:val="en-GB"/>
              </w:rPr>
              <w:t>ff f</w:t>
            </w:r>
            <w:r w:rsidR="003E083F" w:rsidRPr="00891151">
              <w:rPr>
                <w:rFonts w:ascii="Times New Roman" w:hAnsi="Times New Roman"/>
                <w:sz w:val="24"/>
                <w:szCs w:val="24"/>
                <w:lang w:val="en-GB"/>
              </w:rPr>
              <w:t>orest reserves). The World Bank-</w:t>
            </w:r>
            <w:r w:rsidRPr="00891151">
              <w:rPr>
                <w:rFonts w:ascii="Times New Roman" w:hAnsi="Times New Roman"/>
                <w:sz w:val="24"/>
                <w:szCs w:val="24"/>
                <w:lang w:val="en-GB"/>
              </w:rPr>
              <w:t xml:space="preserve">sponsored Sustainable Land and Water Management Project in 2010 indicated a deforestation rate of 22,000 ha per year whilst Ghana reported a gross annual deforestation rate of 135,000 ha to </w:t>
            </w:r>
            <w:proofErr w:type="spellStart"/>
            <w:r w:rsidRPr="00891151">
              <w:rPr>
                <w:rFonts w:ascii="Times New Roman" w:hAnsi="Times New Roman"/>
                <w:sz w:val="24"/>
                <w:szCs w:val="24"/>
                <w:lang w:val="en-GB"/>
              </w:rPr>
              <w:t>FAO’s</w:t>
            </w:r>
            <w:proofErr w:type="spellEnd"/>
            <w:r w:rsidRPr="00891151">
              <w:rPr>
                <w:rFonts w:ascii="Times New Roman" w:hAnsi="Times New Roman"/>
                <w:sz w:val="24"/>
                <w:szCs w:val="24"/>
                <w:lang w:val="en-GB"/>
              </w:rPr>
              <w:t xml:space="preserve"> Forest Resource Assessment for 2010, although </w:t>
            </w:r>
            <w:proofErr w:type="gramStart"/>
            <w:r w:rsidRPr="00891151">
              <w:rPr>
                <w:rFonts w:ascii="Times New Roman" w:hAnsi="Times New Roman"/>
                <w:sz w:val="24"/>
                <w:szCs w:val="24"/>
                <w:lang w:val="en-GB"/>
              </w:rPr>
              <w:t>the net figure was reduced by an annual reforestation programme of 20,000</w:t>
            </w:r>
            <w:proofErr w:type="gramEnd"/>
            <w:r w:rsidRPr="00891151">
              <w:rPr>
                <w:rFonts w:ascii="Times New Roman" w:hAnsi="Times New Roman"/>
                <w:sz w:val="24"/>
                <w:szCs w:val="24"/>
                <w:lang w:val="en-GB"/>
              </w:rPr>
              <w:t xml:space="preserve"> ha per year. At this rate</w:t>
            </w:r>
            <w:r w:rsidR="003E083F" w:rsidRPr="00891151">
              <w:rPr>
                <w:rFonts w:ascii="Times New Roman" w:hAnsi="Times New Roman"/>
                <w:sz w:val="24"/>
                <w:szCs w:val="24"/>
                <w:lang w:val="en-GB"/>
              </w:rPr>
              <w:t>,</w:t>
            </w:r>
            <w:r w:rsidRPr="00891151">
              <w:rPr>
                <w:rFonts w:ascii="Times New Roman" w:hAnsi="Times New Roman"/>
                <w:sz w:val="24"/>
                <w:szCs w:val="24"/>
                <w:lang w:val="en-GB"/>
              </w:rPr>
              <w:t xml:space="preserve"> the country averagely is expected to run out of forest cover in about 20 years. This has affected Ghan</w:t>
            </w:r>
            <w:r w:rsidR="003E083F" w:rsidRPr="00891151">
              <w:rPr>
                <w:rFonts w:ascii="Times New Roman" w:hAnsi="Times New Roman"/>
                <w:sz w:val="24"/>
                <w:szCs w:val="24"/>
                <w:lang w:val="en-GB"/>
              </w:rPr>
              <w:t>a’s export of timber-</w:t>
            </w:r>
            <w:r w:rsidRPr="00891151">
              <w:rPr>
                <w:rFonts w:ascii="Times New Roman" w:hAnsi="Times New Roman"/>
                <w:sz w:val="24"/>
                <w:szCs w:val="24"/>
                <w:lang w:val="en-GB"/>
              </w:rPr>
              <w:t>related products. The value of exports of plywood and wood flooring has fallen by 82.8% and 87.3% respectively from 2005 to 2010.</w:t>
            </w:r>
          </w:p>
          <w:p w:rsidR="00D8731F" w:rsidRPr="00891151" w:rsidRDefault="00D8731F" w:rsidP="0055464B">
            <w:pPr>
              <w:spacing w:line="240" w:lineRule="auto"/>
              <w:rPr>
                <w:rFonts w:ascii="Times New Roman" w:hAnsi="Times New Roman"/>
                <w:sz w:val="24"/>
                <w:szCs w:val="24"/>
                <w:lang w:val="en-GB"/>
              </w:rPr>
            </w:pPr>
            <w:r w:rsidRPr="00891151">
              <w:rPr>
                <w:rFonts w:ascii="Times New Roman" w:hAnsi="Times New Roman"/>
                <w:sz w:val="24"/>
                <w:szCs w:val="24"/>
                <w:lang w:val="en-GB"/>
              </w:rPr>
              <w:t xml:space="preserve">Recognizing the decreasing forest cover, </w:t>
            </w:r>
            <w:r w:rsidR="003E083F" w:rsidRPr="00891151">
              <w:rPr>
                <w:rFonts w:ascii="Times New Roman" w:hAnsi="Times New Roman"/>
                <w:sz w:val="24"/>
                <w:szCs w:val="24"/>
                <w:lang w:val="en-GB"/>
              </w:rPr>
              <w:t xml:space="preserve">and </w:t>
            </w:r>
            <w:r w:rsidRPr="00891151">
              <w:rPr>
                <w:rFonts w:ascii="Times New Roman" w:hAnsi="Times New Roman"/>
                <w:sz w:val="24"/>
                <w:szCs w:val="24"/>
                <w:lang w:val="en-GB"/>
              </w:rPr>
              <w:t>the potential of bamboo and the role that it can play as a suitable alternative to traditional timber, the Governm</w:t>
            </w:r>
            <w:r w:rsidR="003E083F" w:rsidRPr="00891151">
              <w:rPr>
                <w:rFonts w:ascii="Times New Roman" w:hAnsi="Times New Roman"/>
                <w:sz w:val="24"/>
                <w:szCs w:val="24"/>
                <w:lang w:val="en-GB"/>
              </w:rPr>
              <w:t>ent of Ghana introduced in 2002</w:t>
            </w:r>
            <w:r w:rsidRPr="00891151">
              <w:rPr>
                <w:rFonts w:ascii="Times New Roman" w:hAnsi="Times New Roman"/>
                <w:sz w:val="24"/>
                <w:szCs w:val="24"/>
                <w:lang w:val="en-GB"/>
              </w:rPr>
              <w:t xml:space="preserve"> the Bamboo and Rattan Development Program (BARADEP) programme to find sustainable ways of developing the bamboo sector. </w:t>
            </w:r>
          </w:p>
          <w:p w:rsidR="00D8731F" w:rsidRPr="00891151" w:rsidRDefault="00D8731F" w:rsidP="0055464B">
            <w:pPr>
              <w:spacing w:line="240" w:lineRule="auto"/>
              <w:rPr>
                <w:rFonts w:ascii="Times New Roman" w:hAnsi="Times New Roman"/>
                <w:sz w:val="24"/>
                <w:szCs w:val="24"/>
                <w:lang w:val="en-GB"/>
              </w:rPr>
            </w:pPr>
            <w:r w:rsidRPr="00891151">
              <w:rPr>
                <w:rFonts w:ascii="Times New Roman" w:hAnsi="Times New Roman"/>
                <w:sz w:val="24"/>
                <w:szCs w:val="24"/>
                <w:lang w:val="en-GB"/>
              </w:rPr>
              <w:t xml:space="preserve">The Ghanaian climate supports the cultivation of bamboo, and the </w:t>
            </w:r>
            <w:proofErr w:type="spellStart"/>
            <w:r w:rsidRPr="00891151">
              <w:rPr>
                <w:rFonts w:ascii="Times New Roman" w:hAnsi="Times New Roman"/>
                <w:sz w:val="24"/>
                <w:szCs w:val="24"/>
                <w:lang w:val="en-GB"/>
              </w:rPr>
              <w:t>Vulgaris</w:t>
            </w:r>
            <w:proofErr w:type="spellEnd"/>
            <w:r w:rsidRPr="00891151">
              <w:rPr>
                <w:rFonts w:ascii="Times New Roman" w:hAnsi="Times New Roman"/>
                <w:sz w:val="24"/>
                <w:szCs w:val="24"/>
                <w:lang w:val="en-GB"/>
              </w:rPr>
              <w:t xml:space="preserve"> species is most commonly found in the country. The Ashanti Region is believed to hold the third largest stock of naturally growing bamboo in the country. The Millennium Villages Project in </w:t>
            </w:r>
            <w:proofErr w:type="spellStart"/>
            <w:r w:rsidRPr="00891151">
              <w:rPr>
                <w:rFonts w:ascii="Times New Roman" w:hAnsi="Times New Roman"/>
                <w:sz w:val="24"/>
                <w:szCs w:val="24"/>
                <w:lang w:val="en-GB"/>
              </w:rPr>
              <w:t>Bonsaaso</w:t>
            </w:r>
            <w:proofErr w:type="spellEnd"/>
            <w:r w:rsidRPr="00891151">
              <w:rPr>
                <w:rFonts w:ascii="Times New Roman" w:hAnsi="Times New Roman"/>
                <w:sz w:val="24"/>
                <w:szCs w:val="24"/>
                <w:lang w:val="en-GB"/>
              </w:rPr>
              <w:t xml:space="preserve"> is working with communities in the </w:t>
            </w:r>
            <w:proofErr w:type="spellStart"/>
            <w:r w:rsidRPr="00891151">
              <w:rPr>
                <w:rFonts w:ascii="Times New Roman" w:hAnsi="Times New Roman"/>
                <w:sz w:val="24"/>
                <w:szCs w:val="24"/>
                <w:lang w:val="en-GB"/>
              </w:rPr>
              <w:t>Amansie</w:t>
            </w:r>
            <w:proofErr w:type="spellEnd"/>
            <w:r w:rsidRPr="00891151">
              <w:rPr>
                <w:rFonts w:ascii="Times New Roman" w:hAnsi="Times New Roman"/>
                <w:sz w:val="24"/>
                <w:szCs w:val="24"/>
                <w:lang w:val="en-GB"/>
              </w:rPr>
              <w:t xml:space="preserve"> West region in the Ashanti to identify suitable land that could be used to cultivate bamboo for export and local use. An investment opportunity lies in the cultivation of bamboo and </w:t>
            </w:r>
            <w:r w:rsidR="00891151">
              <w:rPr>
                <w:rFonts w:ascii="Times New Roman" w:hAnsi="Times New Roman"/>
                <w:sz w:val="24"/>
                <w:szCs w:val="24"/>
                <w:lang w:val="en-GB"/>
              </w:rPr>
              <w:t>the</w:t>
            </w:r>
            <w:r w:rsidRPr="00891151">
              <w:rPr>
                <w:rFonts w:ascii="Times New Roman" w:hAnsi="Times New Roman"/>
                <w:sz w:val="24"/>
                <w:szCs w:val="24"/>
                <w:lang w:val="en-GB"/>
              </w:rPr>
              <w:t xml:space="preserve"> processing of bamboo into products for the construction/real estate sector in the area</w:t>
            </w:r>
            <w:r w:rsidR="00891151">
              <w:rPr>
                <w:rFonts w:ascii="Times New Roman" w:hAnsi="Times New Roman"/>
                <w:sz w:val="24"/>
                <w:szCs w:val="24"/>
                <w:lang w:val="en-GB"/>
              </w:rPr>
              <w:t>s</w:t>
            </w:r>
            <w:r w:rsidRPr="00891151">
              <w:rPr>
                <w:rFonts w:ascii="Times New Roman" w:hAnsi="Times New Roman"/>
                <w:sz w:val="24"/>
                <w:szCs w:val="24"/>
                <w:lang w:val="en-GB"/>
              </w:rPr>
              <w:t xml:space="preserve"> of furnishing, flooring and plywood to fill the country’s estimated 1</w:t>
            </w:r>
            <w:r w:rsidR="00891151">
              <w:rPr>
                <w:rFonts w:ascii="Times New Roman" w:hAnsi="Times New Roman"/>
                <w:sz w:val="24"/>
                <w:szCs w:val="24"/>
                <w:lang w:val="en-GB"/>
              </w:rPr>
              <w:t xml:space="preserve"> </w:t>
            </w:r>
            <w:r w:rsidRPr="00891151">
              <w:rPr>
                <w:rFonts w:ascii="Times New Roman" w:hAnsi="Times New Roman"/>
                <w:sz w:val="24"/>
                <w:szCs w:val="24"/>
                <w:lang w:val="en-GB"/>
              </w:rPr>
              <w:t>million housing deficit. The region is also open for investment in bamboo for products such as bamboo-frame bicy</w:t>
            </w:r>
            <w:r w:rsidR="00891151">
              <w:rPr>
                <w:rFonts w:ascii="Times New Roman" w:hAnsi="Times New Roman"/>
                <w:sz w:val="24"/>
                <w:szCs w:val="24"/>
                <w:lang w:val="en-GB"/>
              </w:rPr>
              <w:t>cles, toothpicks, brooms, match</w:t>
            </w:r>
            <w:r w:rsidRPr="00891151">
              <w:rPr>
                <w:rFonts w:ascii="Times New Roman" w:hAnsi="Times New Roman"/>
                <w:sz w:val="24"/>
                <w:szCs w:val="24"/>
                <w:lang w:val="en-GB"/>
              </w:rPr>
              <w:t>sticks</w:t>
            </w:r>
            <w:r w:rsidR="00891151">
              <w:rPr>
                <w:rFonts w:ascii="Times New Roman" w:hAnsi="Times New Roman"/>
                <w:sz w:val="24"/>
                <w:szCs w:val="24"/>
                <w:lang w:val="en-GB"/>
              </w:rPr>
              <w:t>,</w:t>
            </w:r>
            <w:r w:rsidRPr="00891151">
              <w:rPr>
                <w:rFonts w:ascii="Times New Roman" w:hAnsi="Times New Roman"/>
                <w:sz w:val="24"/>
                <w:szCs w:val="24"/>
                <w:lang w:val="en-GB"/>
              </w:rPr>
              <w:t xml:space="preserve"> etc.</w:t>
            </w: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Introduction to Kumasi</w:t>
            </w: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Kumasi is located centrally in the Ashanti Region, forming an important transport and commercial hub for both domestic and international traffic. It is the key transportation link between the south and north of Ghana as well as the surrounding landlocked countries. It has a national airport with several flights a day to Accra.</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With some 5 million inhabitants (4,780,380 according to the 2010</w:t>
            </w:r>
            <w:r w:rsidR="00891151">
              <w:rPr>
                <w:rFonts w:ascii="Times New Roman" w:hAnsi="Times New Roman"/>
                <w:sz w:val="24"/>
                <w:szCs w:val="24"/>
                <w:lang w:val="en-GB"/>
              </w:rPr>
              <w:t xml:space="preserve"> national census), the Ashanti R</w:t>
            </w:r>
            <w:r w:rsidRPr="00891151">
              <w:rPr>
                <w:rFonts w:ascii="Times New Roman" w:hAnsi="Times New Roman"/>
                <w:sz w:val="24"/>
                <w:szCs w:val="24"/>
                <w:lang w:val="en-GB"/>
              </w:rPr>
              <w:t>egion is the most populous region in Ghana. The region occupies a total land area of 24,389</w:t>
            </w:r>
            <w:r w:rsidR="00891151">
              <w:rPr>
                <w:rFonts w:ascii="Times New Roman" w:hAnsi="Times New Roman"/>
                <w:sz w:val="24"/>
                <w:szCs w:val="24"/>
                <w:lang w:val="en-GB"/>
              </w:rPr>
              <w:t xml:space="preserve"> km</w:t>
            </w:r>
            <w:r w:rsidRPr="00891151">
              <w:rPr>
                <w:rFonts w:ascii="Times New Roman" w:hAnsi="Times New Roman"/>
                <w:sz w:val="24"/>
                <w:szCs w:val="24"/>
                <w:vertAlign w:val="superscript"/>
                <w:lang w:val="en-GB"/>
              </w:rPr>
              <w:t>2</w:t>
            </w:r>
            <w:r w:rsidRPr="00891151">
              <w:rPr>
                <w:rFonts w:ascii="Times New Roman" w:hAnsi="Times New Roman"/>
                <w:sz w:val="24"/>
                <w:szCs w:val="24"/>
                <w:lang w:val="en-GB"/>
              </w:rPr>
              <w:t xml:space="preserve"> (approximately 10 percent of</w:t>
            </w:r>
            <w:r w:rsidR="00891151">
              <w:rPr>
                <w:rFonts w:ascii="Times New Roman" w:hAnsi="Times New Roman"/>
                <w:sz w:val="24"/>
                <w:szCs w:val="24"/>
                <w:lang w:val="en-GB"/>
              </w:rPr>
              <w:t xml:space="preserve"> the</w:t>
            </w:r>
            <w:r w:rsidRPr="00891151">
              <w:rPr>
                <w:rFonts w:ascii="Times New Roman" w:hAnsi="Times New Roman"/>
                <w:sz w:val="24"/>
                <w:szCs w:val="24"/>
                <w:lang w:val="en-GB"/>
              </w:rPr>
              <w:t xml:space="preserve"> total land in Ghana) and has Kumasi as its regional capital.  </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Kumasi’s daytime population is estimated to reach 2.5</w:t>
            </w:r>
            <w:r w:rsidR="00891151">
              <w:rPr>
                <w:rFonts w:ascii="Times New Roman" w:hAnsi="Times New Roman"/>
                <w:sz w:val="24"/>
                <w:szCs w:val="24"/>
                <w:lang w:val="en-GB"/>
              </w:rPr>
              <w:t xml:space="preserve"> </w:t>
            </w:r>
            <w:r w:rsidRPr="00891151">
              <w:rPr>
                <w:rFonts w:ascii="Times New Roman" w:hAnsi="Times New Roman"/>
                <w:sz w:val="24"/>
                <w:szCs w:val="24"/>
                <w:lang w:val="en-GB"/>
              </w:rPr>
              <w:t>million people because of its role as a commercial centre. Officially, Kumasi recorded 2,035,06</w:t>
            </w:r>
            <w:r w:rsidR="00891151">
              <w:rPr>
                <w:rFonts w:ascii="Times New Roman" w:hAnsi="Times New Roman"/>
                <w:sz w:val="24"/>
                <w:szCs w:val="24"/>
                <w:lang w:val="en-GB"/>
              </w:rPr>
              <w:t>4 inhabitants in 2010. The city’</w:t>
            </w:r>
            <w:r w:rsidRPr="00891151">
              <w:rPr>
                <w:rFonts w:ascii="Times New Roman" w:hAnsi="Times New Roman"/>
                <w:sz w:val="24"/>
                <w:szCs w:val="24"/>
                <w:lang w:val="en-GB"/>
              </w:rPr>
              <w:t>s population is growing fast; it has almost doubled since 2000, from a little over 1 million people.</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Population Trend: The Ashanti Region and Kumasi, 1984 to 2015</w:t>
            </w:r>
          </w:p>
          <w:p w:rsidR="00D8731F" w:rsidRPr="00891151" w:rsidRDefault="00B04DD4" w:rsidP="0055464B">
            <w:pPr>
              <w:pStyle w:val="NoSpacing1"/>
              <w:jc w:val="both"/>
              <w:rPr>
                <w:rFonts w:ascii="Times New Roman" w:hAnsi="Times New Roman"/>
                <w:sz w:val="24"/>
                <w:szCs w:val="24"/>
                <w:lang w:val="en-GB"/>
              </w:rPr>
            </w:pPr>
            <w:r w:rsidRPr="00891151">
              <w:rPr>
                <w:rFonts w:ascii="Times New Roman" w:hAnsi="Times New Roman"/>
                <w:noProof/>
                <w:sz w:val="24"/>
                <w:szCs w:val="24"/>
                <w:lang w:val="en-GB"/>
              </w:rPr>
              <w:pict>
                <v:shapetype id="_x0000_t202" coordsize="21600,21600" o:spt="202" path="m0,0l0,21600,21600,21600,21600,0xe">
                  <v:stroke joinstyle="miter"/>
                  <v:path gradientshapeok="t" o:connecttype="rect"/>
                </v:shapetype>
                <v:shape id="Text Box 2" o:spid="_x0000_s1026" type="#_x0000_t202" style="position:absolute;left:0;text-align:left;margin-left:401.3pt;margin-top:84.35pt;width:51.6pt;height:21.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" stroked="f">
                  <v:textbox>
                    <w:txbxContent>
                      <w:p w:rsidR="00D8731F" w:rsidRDefault="00D8731F" w:rsidP="00D8731F">
                        <w:pPr>
                          <w:rPr>
                            <w:sz w:val="20"/>
                            <w:szCs w:val="20"/>
                          </w:rPr>
                        </w:pPr>
                        <w:r>
                          <w:rPr>
                            <w:sz w:val="20"/>
                            <w:szCs w:val="20"/>
                          </w:rPr>
                          <w:t>ASHANTI</w:t>
                        </w:r>
                      </w:p>
                    </w:txbxContent>
                  </v:textbox>
                </v:shape>
              </w:pict>
            </w:r>
            <w:r w:rsidR="00D8731F" w:rsidRPr="00891151">
              <w:rPr>
                <w:rFonts w:ascii="Times New Roman" w:hAnsi="Times New Roman"/>
                <w:noProof/>
                <w:sz w:val="24"/>
                <w:szCs w:val="24"/>
                <w:lang w:val="en-GB"/>
              </w:rPr>
              <w:drawing>
                <wp:inline distT="0" distB="0" distL="0" distR="0">
                  <wp:extent cx="5779770" cy="219964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779770" cy="2199640"/>
                          </a:xfrm>
                          <a:prstGeom prst="rect">
                            <a:avLst/>
                          </a:prstGeom>
                          <a:noFill/>
                          <a:ln w="9525">
                            <a:noFill/>
                            <a:miter lim="800000"/>
                            <a:headEnd/>
                            <a:tailEnd/>
                          </a:ln>
                        </pic:spPr>
                      </pic:pic>
                    </a:graphicData>
                  </a:graphic>
                </wp:inline>
              </w:drawing>
            </w: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Source: KMA Statistics, 2012</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color w:val="000000" w:themeColor="text1"/>
                <w:sz w:val="24"/>
                <w:szCs w:val="24"/>
                <w:lang w:val="en-GB"/>
              </w:rPr>
            </w:pPr>
            <w:r w:rsidRPr="00891151">
              <w:rPr>
                <w:rFonts w:ascii="Times New Roman" w:hAnsi="Times New Roman"/>
                <w:sz w:val="24"/>
                <w:szCs w:val="24"/>
                <w:lang w:val="en-GB"/>
              </w:rPr>
              <w:t>Kumasi’s strategic geographic location makes it a brisk commercial and administrative centre, and it is often regarded as the commercial capital of Ghana, with West Africa’s largest open-area market, the Kumasi Central Market</w:t>
            </w:r>
            <w:r w:rsidR="00891151">
              <w:rPr>
                <w:rFonts w:ascii="Times New Roman" w:hAnsi="Times New Roman"/>
                <w:color w:val="000000" w:themeColor="text1"/>
                <w:sz w:val="24"/>
                <w:szCs w:val="24"/>
                <w:lang w:val="en-GB"/>
              </w:rPr>
              <w:t>. The e</w:t>
            </w:r>
            <w:r w:rsidRPr="00891151">
              <w:rPr>
                <w:rFonts w:ascii="Times New Roman" w:hAnsi="Times New Roman"/>
                <w:color w:val="000000" w:themeColor="text1"/>
                <w:sz w:val="24"/>
                <w:szCs w:val="24"/>
                <w:lang w:val="en-GB"/>
              </w:rPr>
              <w:t xml:space="preserve">stimated </w:t>
            </w:r>
            <w:r w:rsidR="00891151">
              <w:rPr>
                <w:rFonts w:ascii="Times New Roman" w:hAnsi="Times New Roman"/>
                <w:color w:val="000000" w:themeColor="text1"/>
                <w:sz w:val="24"/>
                <w:szCs w:val="24"/>
                <w:lang w:val="en-GB"/>
              </w:rPr>
              <w:t xml:space="preserve">commercial </w:t>
            </w:r>
            <w:proofErr w:type="gramStart"/>
            <w:r w:rsidRPr="00891151">
              <w:rPr>
                <w:rFonts w:ascii="Times New Roman" w:hAnsi="Times New Roman"/>
                <w:color w:val="000000" w:themeColor="text1"/>
                <w:sz w:val="24"/>
                <w:szCs w:val="24"/>
                <w:lang w:val="en-GB"/>
              </w:rPr>
              <w:t>market</w:t>
            </w:r>
            <w:proofErr w:type="gramEnd"/>
            <w:r w:rsidRPr="00891151">
              <w:rPr>
                <w:rFonts w:ascii="Times New Roman" w:hAnsi="Times New Roman"/>
                <w:color w:val="000000" w:themeColor="text1"/>
                <w:sz w:val="24"/>
                <w:szCs w:val="24"/>
                <w:lang w:val="en-GB"/>
              </w:rPr>
              <w:t xml:space="preserve"> reachable within 1 day of ground travel is </w:t>
            </w:r>
            <w:proofErr w:type="gramStart"/>
            <w:r w:rsidRPr="00891151">
              <w:rPr>
                <w:rFonts w:ascii="Times New Roman" w:hAnsi="Times New Roman"/>
                <w:color w:val="000000" w:themeColor="text1"/>
                <w:sz w:val="24"/>
                <w:szCs w:val="24"/>
                <w:lang w:val="en-GB"/>
              </w:rPr>
              <w:t>approximately 12 million consumers</w:t>
            </w:r>
            <w:proofErr w:type="gramEnd"/>
            <w:r w:rsidRPr="00891151">
              <w:rPr>
                <w:rFonts w:ascii="Times New Roman" w:hAnsi="Times New Roman"/>
                <w:color w:val="000000" w:themeColor="text1"/>
                <w:sz w:val="24"/>
                <w:szCs w:val="24"/>
                <w:lang w:val="en-GB"/>
              </w:rPr>
              <w:t xml:space="preserve"> (Ashanti region and surrounding</w:t>
            </w:r>
            <w:r w:rsidR="00891151">
              <w:rPr>
                <w:rFonts w:ascii="Times New Roman" w:hAnsi="Times New Roman"/>
                <w:color w:val="000000" w:themeColor="text1"/>
                <w:sz w:val="24"/>
                <w:szCs w:val="24"/>
                <w:lang w:val="en-GB"/>
              </w:rPr>
              <w:t xml:space="preserve"> regions, approx. half of Ghana’</w:t>
            </w:r>
            <w:r w:rsidRPr="00891151">
              <w:rPr>
                <w:rFonts w:ascii="Times New Roman" w:hAnsi="Times New Roman"/>
                <w:color w:val="000000" w:themeColor="text1"/>
                <w:sz w:val="24"/>
                <w:szCs w:val="24"/>
                <w:lang w:val="en-GB"/>
              </w:rPr>
              <w:t xml:space="preserve">s population). </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Kumasi has already proved attractive to a number of large foreign investors. Agro-processing giant Archer Daniels Midland (ADM) has been operating a cocoa processing facility in Kumasi since July 2009. Other major players with </w:t>
            </w:r>
            <w:r w:rsidR="00891151">
              <w:rPr>
                <w:rFonts w:ascii="Times New Roman" w:hAnsi="Times New Roman"/>
                <w:sz w:val="24"/>
                <w:szCs w:val="24"/>
                <w:lang w:val="en-GB"/>
              </w:rPr>
              <w:t>an active presence include Coca-</w:t>
            </w:r>
            <w:r w:rsidRPr="00891151">
              <w:rPr>
                <w:rFonts w:ascii="Times New Roman" w:hAnsi="Times New Roman"/>
                <w:sz w:val="24"/>
                <w:szCs w:val="24"/>
                <w:lang w:val="en-GB"/>
              </w:rPr>
              <w:t>Cola and Guinness</w:t>
            </w:r>
            <w:r w:rsidR="00891151">
              <w:rPr>
                <w:rFonts w:ascii="Times New Roman" w:hAnsi="Times New Roman"/>
                <w:sz w:val="24"/>
                <w:szCs w:val="24"/>
                <w:lang w:val="en-GB"/>
              </w:rPr>
              <w:t>,</w:t>
            </w:r>
            <w:r w:rsidRPr="00891151">
              <w:rPr>
                <w:rFonts w:ascii="Times New Roman" w:hAnsi="Times New Roman"/>
                <w:sz w:val="24"/>
                <w:szCs w:val="24"/>
                <w:lang w:val="en-GB"/>
              </w:rPr>
              <w:t xml:space="preserve"> which bo</w:t>
            </w:r>
            <w:r w:rsidR="00891151">
              <w:rPr>
                <w:rFonts w:ascii="Times New Roman" w:hAnsi="Times New Roman"/>
                <w:sz w:val="24"/>
                <w:szCs w:val="24"/>
                <w:lang w:val="en-GB"/>
              </w:rPr>
              <w:t>th have bottling plants in the city.</w:t>
            </w:r>
            <w:r w:rsidRPr="00891151">
              <w:rPr>
                <w:rFonts w:ascii="Times New Roman" w:hAnsi="Times New Roman"/>
                <w:sz w:val="24"/>
                <w:szCs w:val="24"/>
                <w:lang w:val="en-GB"/>
              </w:rPr>
              <w:t xml:space="preserve"> Other international companies with offices in Kumasi include </w:t>
            </w:r>
            <w:proofErr w:type="spellStart"/>
            <w:r w:rsidRPr="00891151">
              <w:rPr>
                <w:rFonts w:ascii="Times New Roman" w:hAnsi="Times New Roman"/>
                <w:sz w:val="24"/>
                <w:szCs w:val="24"/>
                <w:lang w:val="en-GB"/>
              </w:rPr>
              <w:t>Maersk</w:t>
            </w:r>
            <w:proofErr w:type="spellEnd"/>
            <w:r w:rsidRPr="00891151">
              <w:rPr>
                <w:rFonts w:ascii="Times New Roman" w:hAnsi="Times New Roman"/>
                <w:sz w:val="24"/>
                <w:szCs w:val="24"/>
                <w:lang w:val="en-GB"/>
              </w:rPr>
              <w:t>, Barclays Bank, Standard Chartered Bank and Unilever, which has been operating in Ghana for over 70 years.</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
              <w:rPr>
                <w:rFonts w:ascii="Times New Roman" w:hAnsi="Times New Roman"/>
                <w:sz w:val="24"/>
                <w:szCs w:val="24"/>
                <w:lang w:val="en-GB"/>
              </w:rPr>
            </w:pPr>
            <w:r w:rsidRPr="00891151">
              <w:rPr>
                <w:rFonts w:ascii="Times New Roman" w:hAnsi="Times New Roman"/>
                <w:sz w:val="24"/>
                <w:szCs w:val="24"/>
                <w:lang w:val="en-GB"/>
              </w:rPr>
              <w:t xml:space="preserve">Ghana is divided into ten administrative regions. </w:t>
            </w:r>
            <w:proofErr w:type="gramStart"/>
            <w:r w:rsidRPr="00891151">
              <w:rPr>
                <w:rFonts w:ascii="Times New Roman" w:hAnsi="Times New Roman"/>
                <w:sz w:val="24"/>
                <w:szCs w:val="24"/>
                <w:lang w:val="en-GB"/>
              </w:rPr>
              <w:t>Each region is headed by a Regional Minister appointed by the President</w:t>
            </w:r>
            <w:proofErr w:type="gramEnd"/>
            <w:r w:rsidRPr="00891151">
              <w:rPr>
                <w:rFonts w:ascii="Times New Roman" w:hAnsi="Times New Roman"/>
                <w:sz w:val="24"/>
                <w:szCs w:val="24"/>
                <w:lang w:val="en-GB"/>
              </w:rPr>
              <w:t>. The principal units of local government are the district assemblies. There are thr</w:t>
            </w:r>
            <w:r w:rsidR="00891151">
              <w:rPr>
                <w:rFonts w:ascii="Times New Roman" w:hAnsi="Times New Roman"/>
                <w:sz w:val="24"/>
                <w:szCs w:val="24"/>
                <w:lang w:val="en-GB"/>
              </w:rPr>
              <w:t>ee kinds of districts in Ghana:</w:t>
            </w:r>
            <w:r w:rsidRPr="00891151">
              <w:rPr>
                <w:rFonts w:ascii="Times New Roman" w:hAnsi="Times New Roman"/>
                <w:sz w:val="24"/>
                <w:szCs w:val="24"/>
                <w:lang w:val="en-GB"/>
              </w:rPr>
              <w:t xml:space="preserve"> districts, municipalities and metropolis. Between the district assemblies and the central government are the regional coordinating councils. The role of these bodies is to administer and coordinate policy implementation at the local level.</w:t>
            </w:r>
          </w:p>
          <w:p w:rsidR="00D8731F" w:rsidRPr="00891151" w:rsidRDefault="00D8731F" w:rsidP="0055464B">
            <w:pPr>
              <w:pStyle w:val="NoSpacing"/>
              <w:rPr>
                <w:rFonts w:ascii="Times New Roman" w:eastAsiaTheme="minorHAnsi" w:hAnsi="Times New Roman"/>
                <w:sz w:val="24"/>
                <w:szCs w:val="24"/>
                <w:lang w:val="en-GB"/>
              </w:rPr>
            </w:pPr>
          </w:p>
          <w:p w:rsidR="00D8731F" w:rsidRPr="00891151" w:rsidRDefault="00D8731F" w:rsidP="0055464B">
            <w:pPr>
              <w:pStyle w:val="NoSpacing"/>
              <w:rPr>
                <w:rFonts w:ascii="Times New Roman" w:eastAsiaTheme="minorHAnsi" w:hAnsi="Times New Roman"/>
                <w:sz w:val="24"/>
                <w:szCs w:val="24"/>
                <w:lang w:val="en-GB"/>
              </w:rPr>
            </w:pPr>
            <w:proofErr w:type="gramStart"/>
            <w:r w:rsidRPr="00891151">
              <w:rPr>
                <w:rFonts w:ascii="Times New Roman" w:eastAsiaTheme="minorHAnsi" w:hAnsi="Times New Roman"/>
                <w:sz w:val="24"/>
                <w:szCs w:val="24"/>
                <w:lang w:val="en-GB"/>
              </w:rPr>
              <w:t>Kumasi is administered by the Kumasi Metropolitan Assembly, with the Mayor serving as the city’s chief executive officer</w:t>
            </w:r>
            <w:proofErr w:type="gramEnd"/>
            <w:r w:rsidRPr="00891151">
              <w:rPr>
                <w:rFonts w:ascii="Times New Roman" w:eastAsiaTheme="minorHAnsi" w:hAnsi="Times New Roman"/>
                <w:sz w:val="24"/>
                <w:szCs w:val="24"/>
                <w:lang w:val="en-GB"/>
              </w:rPr>
              <w:t xml:space="preserve">. The Ashanti region as a whole is under the purview of the regional minister. </w:t>
            </w:r>
            <w:r w:rsidRPr="00891151">
              <w:rPr>
                <w:rFonts w:ascii="Times New Roman" w:hAnsi="Times New Roman"/>
                <w:sz w:val="24"/>
                <w:szCs w:val="24"/>
                <w:lang w:val="en-GB"/>
              </w:rPr>
              <w:t>The institution of chieftaincy is very pronounced in the Ashanti region and plays a significant role in its management</w:t>
            </w:r>
            <w:r w:rsidR="00891151">
              <w:rPr>
                <w:rFonts w:ascii="Times New Roman" w:hAnsi="Times New Roman"/>
                <w:sz w:val="24"/>
                <w:szCs w:val="24"/>
                <w:lang w:val="en-GB"/>
              </w:rPr>
              <w:t>,</w:t>
            </w:r>
            <w:r w:rsidRPr="00891151">
              <w:rPr>
                <w:rFonts w:ascii="Times New Roman" w:hAnsi="Times New Roman"/>
                <w:sz w:val="24"/>
                <w:szCs w:val="24"/>
                <w:lang w:val="en-GB"/>
              </w:rPr>
              <w:t xml:space="preserve"> especially in the area of land administration. </w:t>
            </w:r>
            <w:proofErr w:type="gramStart"/>
            <w:r w:rsidRPr="00891151">
              <w:rPr>
                <w:rFonts w:ascii="Times New Roman" w:hAnsi="Times New Roman"/>
                <w:sz w:val="24"/>
                <w:szCs w:val="24"/>
                <w:lang w:val="en-GB"/>
              </w:rPr>
              <w:t xml:space="preserve">Most land in the Ashanti is administered by the </w:t>
            </w:r>
            <w:proofErr w:type="spellStart"/>
            <w:r w:rsidRPr="00891151">
              <w:rPr>
                <w:rFonts w:ascii="Times New Roman" w:hAnsi="Times New Roman"/>
                <w:sz w:val="24"/>
                <w:szCs w:val="24"/>
                <w:lang w:val="en-GB"/>
              </w:rPr>
              <w:t>Asantehene</w:t>
            </w:r>
            <w:proofErr w:type="spellEnd"/>
            <w:proofErr w:type="gramEnd"/>
            <w:r w:rsidRPr="00891151">
              <w:rPr>
                <w:rFonts w:ascii="Times New Roman" w:hAnsi="Times New Roman"/>
                <w:sz w:val="24"/>
                <w:szCs w:val="24"/>
                <w:lang w:val="en-GB"/>
              </w:rPr>
              <w:t xml:space="preserve"> (Ashanti King) and relatively small portions belong to the state under the administration of the Lands Commission. The </w:t>
            </w:r>
            <w:proofErr w:type="spellStart"/>
            <w:r w:rsidRPr="00891151">
              <w:rPr>
                <w:rFonts w:ascii="Times New Roman" w:hAnsi="Times New Roman"/>
                <w:sz w:val="24"/>
                <w:szCs w:val="24"/>
                <w:lang w:val="en-GB"/>
              </w:rPr>
              <w:t>Asantehene</w:t>
            </w:r>
            <w:proofErr w:type="spellEnd"/>
            <w:r w:rsidRPr="00891151">
              <w:rPr>
                <w:rFonts w:ascii="Times New Roman" w:hAnsi="Times New Roman"/>
                <w:sz w:val="24"/>
                <w:szCs w:val="24"/>
                <w:lang w:val="en-GB"/>
              </w:rPr>
              <w:t xml:space="preserve"> is assisted by a variety of chiefs ranging from paramo</w:t>
            </w:r>
            <w:r w:rsidR="00891151">
              <w:rPr>
                <w:rFonts w:ascii="Times New Roman" w:hAnsi="Times New Roman"/>
                <w:sz w:val="24"/>
                <w:szCs w:val="24"/>
                <w:lang w:val="en-GB"/>
              </w:rPr>
              <w:t xml:space="preserve">unt, divisional and sub chiefs to </w:t>
            </w:r>
            <w:r w:rsidRPr="00891151">
              <w:rPr>
                <w:rFonts w:ascii="Times New Roman" w:hAnsi="Times New Roman"/>
                <w:sz w:val="24"/>
                <w:szCs w:val="24"/>
                <w:lang w:val="en-GB"/>
              </w:rPr>
              <w:t>stool and clan elders</w:t>
            </w:r>
            <w:r w:rsidR="00891151">
              <w:rPr>
                <w:rFonts w:ascii="Times New Roman" w:hAnsi="Times New Roman"/>
                <w:sz w:val="24"/>
                <w:szCs w:val="24"/>
                <w:lang w:val="en-GB"/>
              </w:rPr>
              <w:t>,</w:t>
            </w:r>
            <w:r w:rsidRPr="00891151">
              <w:rPr>
                <w:rFonts w:ascii="Times New Roman" w:hAnsi="Times New Roman"/>
                <w:sz w:val="24"/>
                <w:szCs w:val="24"/>
                <w:lang w:val="en-GB"/>
              </w:rPr>
              <w:t xml:space="preserve"> who all play roles in land acquisition</w:t>
            </w:r>
            <w:r w:rsidR="00891151">
              <w:rPr>
                <w:rFonts w:ascii="Times New Roman" w:hAnsi="Times New Roman"/>
                <w:sz w:val="24"/>
                <w:szCs w:val="24"/>
                <w:lang w:val="en-GB"/>
              </w:rPr>
              <w:t>,</w:t>
            </w:r>
            <w:r w:rsidRPr="00891151">
              <w:rPr>
                <w:rFonts w:ascii="Times New Roman" w:hAnsi="Times New Roman"/>
                <w:sz w:val="24"/>
                <w:szCs w:val="24"/>
                <w:lang w:val="en-GB"/>
              </w:rPr>
              <w:t xml:space="preserve"> with the </w:t>
            </w:r>
            <w:proofErr w:type="spellStart"/>
            <w:r w:rsidRPr="00891151">
              <w:rPr>
                <w:rFonts w:ascii="Times New Roman" w:hAnsi="Times New Roman"/>
                <w:sz w:val="24"/>
                <w:szCs w:val="24"/>
                <w:lang w:val="en-GB"/>
              </w:rPr>
              <w:t>Asantehene</w:t>
            </w:r>
            <w:proofErr w:type="spellEnd"/>
            <w:r w:rsidRPr="00891151">
              <w:rPr>
                <w:rFonts w:ascii="Times New Roman" w:hAnsi="Times New Roman"/>
                <w:sz w:val="24"/>
                <w:szCs w:val="24"/>
                <w:lang w:val="en-GB"/>
              </w:rPr>
              <w:t xml:space="preserve"> playing the ultimate role.</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spacing w:after="0" w:line="240" w:lineRule="auto"/>
              <w:jc w:val="both"/>
              <w:rPr>
                <w:rFonts w:ascii="Times New Roman" w:hAnsi="Times New Roman"/>
                <w:sz w:val="24"/>
                <w:szCs w:val="24"/>
                <w:lang w:val="en-GB"/>
              </w:rPr>
            </w:pPr>
            <w:r w:rsidRPr="00891151">
              <w:rPr>
                <w:rFonts w:ascii="Times New Roman" w:hAnsi="Times New Roman"/>
                <w:sz w:val="24"/>
                <w:szCs w:val="24"/>
                <w:lang w:val="en-GB"/>
              </w:rPr>
              <w:t xml:space="preserve">Kumasi is home to numerous educational institutions, including the largest science and technology university in Ghana and in West Africa, the </w:t>
            </w:r>
            <w:proofErr w:type="spellStart"/>
            <w:r w:rsidRPr="00891151">
              <w:rPr>
                <w:rFonts w:ascii="Times New Roman" w:hAnsi="Times New Roman"/>
                <w:sz w:val="24"/>
                <w:szCs w:val="24"/>
                <w:lang w:val="en-GB"/>
              </w:rPr>
              <w:t>Kwame</w:t>
            </w:r>
            <w:proofErr w:type="spellEnd"/>
            <w:r w:rsidRPr="00891151">
              <w:rPr>
                <w:rFonts w:ascii="Times New Roman" w:hAnsi="Times New Roman"/>
                <w:sz w:val="24"/>
                <w:szCs w:val="24"/>
                <w:lang w:val="en-GB"/>
              </w:rPr>
              <w:t xml:space="preserve"> Nkrumah University of Science and Technology (KNUST), which has a student population of nearly 28,000, comprising both undergraduate and postgraduate students. </w:t>
            </w:r>
          </w:p>
          <w:p w:rsidR="00D8731F" w:rsidRPr="00891151" w:rsidRDefault="00D8731F" w:rsidP="0055464B">
            <w:pPr>
              <w:spacing w:line="240" w:lineRule="auto"/>
              <w:jc w:val="both"/>
              <w:rPr>
                <w:rFonts w:ascii="Times New Roman" w:hAnsi="Times New Roman"/>
                <w:sz w:val="24"/>
                <w:szCs w:val="24"/>
                <w:lang w:val="en-GB"/>
              </w:rPr>
            </w:pPr>
          </w:p>
          <w:p w:rsidR="00D8731F" w:rsidRPr="00891151" w:rsidRDefault="00D8731F" w:rsidP="0055464B">
            <w:pPr>
              <w:spacing w:line="240" w:lineRule="auto"/>
              <w:jc w:val="both"/>
              <w:rPr>
                <w:rFonts w:ascii="Times New Roman" w:hAnsi="Times New Roman"/>
                <w:sz w:val="24"/>
                <w:szCs w:val="24"/>
                <w:lang w:val="en-GB"/>
              </w:rPr>
            </w:pPr>
            <w:r w:rsidRPr="00891151">
              <w:rPr>
                <w:rFonts w:ascii="Times New Roman" w:hAnsi="Times New Roman"/>
                <w:sz w:val="24"/>
                <w:szCs w:val="24"/>
                <w:lang w:val="en-GB"/>
              </w:rPr>
              <w:t>Kumasi’s location at the centre of the Ashanti region and of Ghana, coupled with its good road network and airport, makes it the preferred trading centre for most of</w:t>
            </w:r>
            <w:r w:rsidR="00891151">
              <w:rPr>
                <w:rFonts w:ascii="Times New Roman" w:hAnsi="Times New Roman"/>
                <w:sz w:val="24"/>
                <w:szCs w:val="24"/>
                <w:lang w:val="en-GB"/>
              </w:rPr>
              <w:t xml:space="preserve"> the surrounding regions and </w:t>
            </w:r>
            <w:r w:rsidRPr="00891151">
              <w:rPr>
                <w:rFonts w:ascii="Times New Roman" w:hAnsi="Times New Roman"/>
                <w:sz w:val="24"/>
                <w:szCs w:val="24"/>
                <w:lang w:val="en-GB"/>
              </w:rPr>
              <w:t>an important commercial centre for West Africa. Kumasi serves as the commercial hub for the neighbo</w:t>
            </w:r>
            <w:r w:rsidR="00891151">
              <w:rPr>
                <w:rFonts w:ascii="Times New Roman" w:hAnsi="Times New Roman"/>
                <w:sz w:val="24"/>
                <w:szCs w:val="24"/>
                <w:lang w:val="en-GB"/>
              </w:rPr>
              <w:t xml:space="preserve">uring </w:t>
            </w:r>
            <w:proofErr w:type="spellStart"/>
            <w:r w:rsidR="00891151">
              <w:rPr>
                <w:rFonts w:ascii="Times New Roman" w:hAnsi="Times New Roman"/>
                <w:sz w:val="24"/>
                <w:szCs w:val="24"/>
                <w:lang w:val="en-GB"/>
              </w:rPr>
              <w:t>Brong-Ahafo</w:t>
            </w:r>
            <w:proofErr w:type="spellEnd"/>
            <w:r w:rsidR="00891151">
              <w:rPr>
                <w:rFonts w:ascii="Times New Roman" w:hAnsi="Times New Roman"/>
                <w:sz w:val="24"/>
                <w:szCs w:val="24"/>
                <w:lang w:val="en-GB"/>
              </w:rPr>
              <w:t xml:space="preserve"> R</w:t>
            </w:r>
            <w:r w:rsidRPr="00891151">
              <w:rPr>
                <w:rFonts w:ascii="Times New Roman" w:hAnsi="Times New Roman"/>
                <w:sz w:val="24"/>
                <w:szCs w:val="24"/>
                <w:lang w:val="en-GB"/>
              </w:rPr>
              <w:t>egion, the three northernmost regions of Ghana, and parts of th</w:t>
            </w:r>
            <w:r w:rsidR="00891151">
              <w:rPr>
                <w:rFonts w:ascii="Times New Roman" w:hAnsi="Times New Roman"/>
                <w:sz w:val="24"/>
                <w:szCs w:val="24"/>
                <w:lang w:val="en-GB"/>
              </w:rPr>
              <w:t>e Western and Eastern R</w:t>
            </w:r>
            <w:r w:rsidRPr="00891151">
              <w:rPr>
                <w:rFonts w:ascii="Times New Roman" w:hAnsi="Times New Roman"/>
                <w:sz w:val="24"/>
                <w:szCs w:val="24"/>
                <w:lang w:val="en-GB"/>
              </w:rPr>
              <w:t xml:space="preserve">egions, creating a potential market of about 12 million people. An investor can access landlocked Burkina Faso, Mali and Niger with a total potential market of over 48 million people. Merchants from these landlocked countries trade at the Kumasi Central Market, West Africa’s largest </w:t>
            </w:r>
            <w:proofErr w:type="gramStart"/>
            <w:r w:rsidRPr="00891151">
              <w:rPr>
                <w:rFonts w:ascii="Times New Roman" w:hAnsi="Times New Roman"/>
                <w:sz w:val="24"/>
                <w:szCs w:val="24"/>
                <w:lang w:val="en-GB"/>
              </w:rPr>
              <w:t>open air</w:t>
            </w:r>
            <w:proofErr w:type="gramEnd"/>
            <w:r w:rsidRPr="00891151">
              <w:rPr>
                <w:rFonts w:ascii="Times New Roman" w:hAnsi="Times New Roman"/>
                <w:sz w:val="24"/>
                <w:szCs w:val="24"/>
                <w:lang w:val="en-GB"/>
              </w:rPr>
              <w:t xml:space="preserve"> market — to the extent that a section of the market has come to be called the “French line".</w:t>
            </w:r>
          </w:p>
          <w:p w:rsidR="00D8731F" w:rsidRPr="00891151" w:rsidRDefault="00D8731F" w:rsidP="0055464B">
            <w:pPr>
              <w:spacing w:after="0" w:line="240" w:lineRule="auto"/>
              <w:jc w:val="both"/>
              <w:rPr>
                <w:rFonts w:ascii="Times New Roman" w:hAnsi="Times New Roman"/>
                <w:sz w:val="24"/>
                <w:szCs w:val="24"/>
                <w:lang w:val="en-GB"/>
              </w:rPr>
            </w:pPr>
            <w:r w:rsidRPr="00891151">
              <w:rPr>
                <w:rFonts w:ascii="Times New Roman" w:hAnsi="Times New Roman"/>
                <w:sz w:val="24"/>
                <w:szCs w:val="24"/>
                <w:lang w:val="en-GB"/>
              </w:rPr>
              <w:t>Through Ghana’s membership in the Economic Community of West African Countries (ECOWAS), Kumasi potentially serves an even larger market of over 250 million people.</w:t>
            </w:r>
          </w:p>
          <w:p w:rsidR="00D8731F" w:rsidRPr="00891151" w:rsidRDefault="00D8731F" w:rsidP="0055464B">
            <w:pPr>
              <w:spacing w:after="0" w:line="240" w:lineRule="auto"/>
              <w:jc w:val="both"/>
              <w:rPr>
                <w:rFonts w:ascii="Times New Roman" w:hAnsi="Times New Roman"/>
                <w:sz w:val="24"/>
                <w:szCs w:val="24"/>
                <w:lang w:val="en-GB"/>
              </w:rPr>
            </w:pP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spacing w:after="0" w:line="240" w:lineRule="auto"/>
              <w:rPr>
                <w:rFonts w:ascii="Times New Roman" w:hAnsi="Times New Roman"/>
                <w:b/>
                <w:sz w:val="24"/>
                <w:szCs w:val="24"/>
                <w:lang w:val="en-GB"/>
              </w:rPr>
            </w:pPr>
          </w:p>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 xml:space="preserve">OVERVIEW OF GHANA’S TIMBER INDUSTRY </w:t>
            </w:r>
          </w:p>
          <w:p w:rsidR="00D8731F" w:rsidRPr="00891151" w:rsidRDefault="00D8731F" w:rsidP="0055464B">
            <w:pPr>
              <w:spacing w:after="0" w:line="240" w:lineRule="auto"/>
              <w:rPr>
                <w:rFonts w:ascii="Times New Roman" w:hAnsi="Times New Roman"/>
                <w:b/>
                <w:sz w:val="24"/>
                <w:szCs w:val="24"/>
                <w:lang w:val="en-GB"/>
              </w:rPr>
            </w:pPr>
          </w:p>
          <w:p w:rsidR="00D8731F" w:rsidRPr="00891151" w:rsidRDefault="00D8731F" w:rsidP="0055464B">
            <w:pPr>
              <w:spacing w:line="240" w:lineRule="auto"/>
              <w:rPr>
                <w:rFonts w:ascii="Times New Roman" w:hAnsi="Times New Roman"/>
                <w:sz w:val="24"/>
                <w:szCs w:val="24"/>
                <w:lang w:val="en-GB"/>
              </w:rPr>
            </w:pPr>
            <w:r w:rsidRPr="00891151">
              <w:rPr>
                <w:rFonts w:ascii="Times New Roman" w:hAnsi="Times New Roman"/>
                <w:sz w:val="24"/>
                <w:szCs w:val="24"/>
                <w:lang w:val="en-GB"/>
              </w:rPr>
              <w:t>Ghana’s timber resources are depleting at a rapid pace. Statistics from the Forestry Commission of Ghana indicate that the country’s forest resources</w:t>
            </w:r>
            <w:r w:rsidR="00891151">
              <w:rPr>
                <w:rFonts w:ascii="Times New Roman" w:hAnsi="Times New Roman"/>
                <w:sz w:val="24"/>
                <w:szCs w:val="24"/>
                <w:lang w:val="en-GB"/>
              </w:rPr>
              <w:t>,</w:t>
            </w:r>
            <w:r w:rsidRPr="00891151">
              <w:rPr>
                <w:rFonts w:ascii="Times New Roman" w:hAnsi="Times New Roman"/>
                <w:sz w:val="24"/>
                <w:szCs w:val="24"/>
                <w:lang w:val="en-GB"/>
              </w:rPr>
              <w:t xml:space="preserve"> which stood at 8 million hectares in the early 1920s</w:t>
            </w:r>
            <w:r w:rsidR="00891151">
              <w:rPr>
                <w:rFonts w:ascii="Times New Roman" w:hAnsi="Times New Roman"/>
                <w:sz w:val="24"/>
                <w:szCs w:val="24"/>
                <w:lang w:val="en-GB"/>
              </w:rPr>
              <w:t xml:space="preserve">, have been reduced to </w:t>
            </w:r>
            <w:r w:rsidRPr="00891151">
              <w:rPr>
                <w:rFonts w:ascii="Times New Roman" w:hAnsi="Times New Roman"/>
                <w:sz w:val="24"/>
                <w:szCs w:val="24"/>
                <w:lang w:val="en-GB"/>
              </w:rPr>
              <w:t>a little over 1 million hecta</w:t>
            </w:r>
            <w:r w:rsidR="00891151">
              <w:rPr>
                <w:rFonts w:ascii="Times New Roman" w:hAnsi="Times New Roman"/>
                <w:sz w:val="24"/>
                <w:szCs w:val="24"/>
                <w:lang w:val="en-GB"/>
              </w:rPr>
              <w:t>res estimated for 2010/11(both on and o</w:t>
            </w:r>
            <w:r w:rsidRPr="00891151">
              <w:rPr>
                <w:rFonts w:ascii="Times New Roman" w:hAnsi="Times New Roman"/>
                <w:sz w:val="24"/>
                <w:szCs w:val="24"/>
                <w:lang w:val="en-GB"/>
              </w:rPr>
              <w:t>ff f</w:t>
            </w:r>
            <w:r w:rsidR="00891151">
              <w:rPr>
                <w:rFonts w:ascii="Times New Roman" w:hAnsi="Times New Roman"/>
                <w:sz w:val="24"/>
                <w:szCs w:val="24"/>
                <w:lang w:val="en-GB"/>
              </w:rPr>
              <w:t>orest reserves). The World Bank-</w:t>
            </w:r>
            <w:r w:rsidRPr="00891151">
              <w:rPr>
                <w:rFonts w:ascii="Times New Roman" w:hAnsi="Times New Roman"/>
                <w:sz w:val="24"/>
                <w:szCs w:val="24"/>
                <w:lang w:val="en-GB"/>
              </w:rPr>
              <w:t xml:space="preserve">sponsored Sustainable Land and Water Management Project in 2010 indicated a deforestation rate of 22,000 ha per year whilst Ghana reported a gross annual deforestation rate of 135,000 ha to </w:t>
            </w:r>
            <w:proofErr w:type="spellStart"/>
            <w:r w:rsidRPr="00891151">
              <w:rPr>
                <w:rFonts w:ascii="Times New Roman" w:hAnsi="Times New Roman"/>
                <w:sz w:val="24"/>
                <w:szCs w:val="24"/>
                <w:lang w:val="en-GB"/>
              </w:rPr>
              <w:t>FAO’s</w:t>
            </w:r>
            <w:proofErr w:type="spellEnd"/>
            <w:r w:rsidRPr="00891151">
              <w:rPr>
                <w:rFonts w:ascii="Times New Roman" w:hAnsi="Times New Roman"/>
                <w:sz w:val="24"/>
                <w:szCs w:val="24"/>
                <w:lang w:val="en-GB"/>
              </w:rPr>
              <w:t xml:space="preserve"> Forest Resource Assessment for 2010, although </w:t>
            </w:r>
            <w:proofErr w:type="gramStart"/>
            <w:r w:rsidRPr="00891151">
              <w:rPr>
                <w:rFonts w:ascii="Times New Roman" w:hAnsi="Times New Roman"/>
                <w:sz w:val="24"/>
                <w:szCs w:val="24"/>
                <w:lang w:val="en-GB"/>
              </w:rPr>
              <w:t>the net figure was reduced by an annual reforestation programme of 20,000</w:t>
            </w:r>
            <w:proofErr w:type="gramEnd"/>
            <w:r w:rsidRPr="00891151">
              <w:rPr>
                <w:rFonts w:ascii="Times New Roman" w:hAnsi="Times New Roman"/>
                <w:sz w:val="24"/>
                <w:szCs w:val="24"/>
                <w:lang w:val="en-GB"/>
              </w:rPr>
              <w:t xml:space="preserve"> ha per year. At this rate</w:t>
            </w:r>
            <w:r w:rsidR="00891151">
              <w:rPr>
                <w:rFonts w:ascii="Times New Roman" w:hAnsi="Times New Roman"/>
                <w:sz w:val="24"/>
                <w:szCs w:val="24"/>
                <w:lang w:val="en-GB"/>
              </w:rPr>
              <w:t>,</w:t>
            </w:r>
            <w:r w:rsidRPr="00891151">
              <w:rPr>
                <w:rFonts w:ascii="Times New Roman" w:hAnsi="Times New Roman"/>
                <w:sz w:val="24"/>
                <w:szCs w:val="24"/>
                <w:lang w:val="en-GB"/>
              </w:rPr>
              <w:t xml:space="preserve"> the country is expected to run out of forest cover in about 20 years. This drastic reduction has af</w:t>
            </w:r>
            <w:r w:rsidR="00891151">
              <w:rPr>
                <w:rFonts w:ascii="Times New Roman" w:hAnsi="Times New Roman"/>
                <w:sz w:val="24"/>
                <w:szCs w:val="24"/>
                <w:lang w:val="en-GB"/>
              </w:rPr>
              <w:t>fected Ghana’s export of timber-</w:t>
            </w:r>
            <w:r w:rsidRPr="00891151">
              <w:rPr>
                <w:rFonts w:ascii="Times New Roman" w:hAnsi="Times New Roman"/>
                <w:sz w:val="24"/>
                <w:szCs w:val="24"/>
                <w:lang w:val="en-GB"/>
              </w:rPr>
              <w:t>related products. The value of exports of plywood and wood flooring has fallen by 82.8% and 87.3% respectively from 2005 to 2010.</w:t>
            </w: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sz w:val="24"/>
                <w:szCs w:val="24"/>
                <w:lang w:val="en-GB"/>
              </w:rPr>
            </w:pPr>
          </w:p>
          <w:p w:rsidR="00891151" w:rsidRDefault="00891151" w:rsidP="0055464B">
            <w:pPr>
              <w:spacing w:after="0" w:line="240" w:lineRule="auto"/>
              <w:rPr>
                <w:rFonts w:ascii="Times New Roman" w:hAnsi="Times New Roman"/>
                <w:b/>
                <w:sz w:val="24"/>
                <w:szCs w:val="24"/>
                <w:lang w:val="en-GB"/>
              </w:rPr>
            </w:pPr>
          </w:p>
          <w:p w:rsidR="00891151" w:rsidRDefault="00891151" w:rsidP="0055464B">
            <w:pPr>
              <w:spacing w:after="0" w:line="240" w:lineRule="auto"/>
              <w:rPr>
                <w:rFonts w:ascii="Times New Roman" w:hAnsi="Times New Roman"/>
                <w:b/>
                <w:sz w:val="24"/>
                <w:szCs w:val="24"/>
                <w:lang w:val="en-GB"/>
              </w:rPr>
            </w:pPr>
          </w:p>
          <w:p w:rsidR="00891151" w:rsidRDefault="00891151" w:rsidP="0055464B">
            <w:pPr>
              <w:spacing w:after="0" w:line="240" w:lineRule="auto"/>
              <w:rPr>
                <w:rFonts w:ascii="Times New Roman" w:hAnsi="Times New Roman"/>
                <w:b/>
                <w:sz w:val="24"/>
                <w:szCs w:val="24"/>
                <w:lang w:val="en-GB"/>
              </w:rPr>
            </w:pPr>
          </w:p>
          <w:p w:rsidR="00891151" w:rsidRDefault="00891151" w:rsidP="0055464B">
            <w:pPr>
              <w:spacing w:after="0" w:line="240" w:lineRule="auto"/>
              <w:rPr>
                <w:rFonts w:ascii="Times New Roman" w:hAnsi="Times New Roman"/>
                <w:b/>
                <w:sz w:val="24"/>
                <w:szCs w:val="24"/>
                <w:lang w:val="en-GB"/>
              </w:rPr>
            </w:pPr>
          </w:p>
          <w:p w:rsidR="00891151" w:rsidRDefault="00891151" w:rsidP="0055464B">
            <w:pPr>
              <w:spacing w:after="0" w:line="240" w:lineRule="auto"/>
              <w:rPr>
                <w:rFonts w:ascii="Times New Roman" w:hAnsi="Times New Roman"/>
                <w:b/>
                <w:sz w:val="24"/>
                <w:szCs w:val="24"/>
                <w:lang w:val="en-GB"/>
              </w:rPr>
            </w:pPr>
          </w:p>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GHANA’S OFFICIAL FOREST AND OFF RESERVE TIMBER PRODUCTION (2000-2005)</w:t>
            </w: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sz w:val="24"/>
                <w:szCs w:val="24"/>
                <w:lang w:val="en-GB"/>
              </w:rPr>
            </w:pPr>
            <w:r w:rsidRPr="00891151">
              <w:rPr>
                <w:rFonts w:ascii="Times New Roman" w:hAnsi="Times New Roman"/>
                <w:noProof/>
                <w:sz w:val="24"/>
                <w:szCs w:val="24"/>
                <w:lang w:val="en-GB"/>
              </w:rPr>
              <w:drawing>
                <wp:inline distT="0" distB="0" distL="0" distR="0">
                  <wp:extent cx="5553614" cy="2035834"/>
                  <wp:effectExtent l="19050" t="0" r="28036" b="2516"/>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i/>
                <w:sz w:val="24"/>
                <w:szCs w:val="24"/>
                <w:lang w:val="en-GB"/>
              </w:rPr>
            </w:pPr>
            <w:r w:rsidRPr="00891151">
              <w:rPr>
                <w:rFonts w:ascii="Times New Roman" w:hAnsi="Times New Roman"/>
                <w:i/>
                <w:sz w:val="24"/>
                <w:szCs w:val="24"/>
                <w:lang w:val="en-GB"/>
              </w:rPr>
              <w:t>Source: Forestry Commission</w:t>
            </w: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sz w:val="24"/>
                <w:szCs w:val="24"/>
                <w:lang w:val="en-GB"/>
              </w:rPr>
            </w:pPr>
            <w:r w:rsidRPr="00891151">
              <w:rPr>
                <w:rFonts w:ascii="Times New Roman" w:hAnsi="Times New Roman"/>
                <w:sz w:val="24"/>
                <w:szCs w:val="24"/>
                <w:lang w:val="en-GB"/>
              </w:rPr>
              <w:t>The value of exports of plywood and flooring has fallen by 82.8% and 87.3% respectively from 2005 to 2010. This significant drop is as a result of the depletion of the general stock of forest wood resulting in the strict management of the reaming forest reserves.</w:t>
            </w: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Ghana’s Timber Exports, 2000 to 2010</w:t>
            </w:r>
            <w:r w:rsidR="00002872" w:rsidRPr="00891151">
              <w:rPr>
                <w:rFonts w:ascii="Times New Roman" w:hAnsi="Times New Roman"/>
                <w:b/>
                <w:sz w:val="24"/>
                <w:szCs w:val="24"/>
                <w:lang w:val="en-GB"/>
              </w:rPr>
              <w:t xml:space="preserve"> (m</w:t>
            </w:r>
            <w:r w:rsidR="00002872" w:rsidRPr="00891151">
              <w:rPr>
                <w:rFonts w:ascii="Times New Roman" w:hAnsi="Times New Roman"/>
                <w:b/>
                <w:sz w:val="24"/>
                <w:szCs w:val="24"/>
                <w:vertAlign w:val="superscript"/>
                <w:lang w:val="en-GB"/>
              </w:rPr>
              <w:t>3</w:t>
            </w:r>
            <w:r w:rsidR="00002872" w:rsidRPr="00891151">
              <w:rPr>
                <w:rFonts w:ascii="Times New Roman" w:hAnsi="Times New Roman"/>
                <w:b/>
                <w:sz w:val="24"/>
                <w:szCs w:val="24"/>
                <w:lang w:val="en-GB"/>
              </w:rPr>
              <w:t>)</w:t>
            </w:r>
          </w:p>
          <w:p w:rsidR="00D8731F" w:rsidRPr="00891151" w:rsidRDefault="00D8731F" w:rsidP="0055464B">
            <w:pPr>
              <w:spacing w:after="0" w:line="240" w:lineRule="auto"/>
              <w:rPr>
                <w:rFonts w:ascii="Times New Roman" w:hAnsi="Times New Roman"/>
                <w:sz w:val="24"/>
                <w:szCs w:val="24"/>
                <w:lang w:val="en-GB"/>
              </w:rPr>
            </w:pPr>
          </w:p>
          <w:tbl>
            <w:tblPr>
              <w:tblW w:w="4860" w:type="dxa"/>
              <w:tblLook w:val="04A0"/>
            </w:tblPr>
            <w:tblGrid>
              <w:gridCol w:w="1953"/>
              <w:gridCol w:w="957"/>
              <w:gridCol w:w="996"/>
              <w:gridCol w:w="954"/>
            </w:tblGrid>
            <w:tr w:rsidR="00D8731F" w:rsidRPr="00891151">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rPr>
                      <w:rFonts w:ascii="Times New Roman" w:eastAsia="Times New Roman" w:hAnsi="Times New Roman"/>
                      <w:b/>
                      <w:color w:val="000000"/>
                      <w:sz w:val="24"/>
                      <w:szCs w:val="24"/>
                      <w:lang w:val="en-GB"/>
                    </w:rPr>
                  </w:pPr>
                  <w:r w:rsidRPr="00891151">
                    <w:rPr>
                      <w:rFonts w:ascii="Times New Roman" w:eastAsia="Times New Roman" w:hAnsi="Times New Roman"/>
                      <w:b/>
                      <w:color w:val="000000"/>
                      <w:sz w:val="24"/>
                      <w:szCs w:val="24"/>
                      <w:lang w:val="en-GB"/>
                    </w:rPr>
                    <w:t>Timber Product</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b/>
                      <w:color w:val="000000"/>
                      <w:sz w:val="24"/>
                      <w:szCs w:val="24"/>
                      <w:lang w:val="en-GB"/>
                    </w:rPr>
                  </w:pPr>
                  <w:r w:rsidRPr="00891151">
                    <w:rPr>
                      <w:rFonts w:ascii="Times New Roman" w:eastAsia="Times New Roman" w:hAnsi="Times New Roman"/>
                      <w:b/>
                      <w:color w:val="000000"/>
                      <w:sz w:val="24"/>
                      <w:szCs w:val="24"/>
                      <w:lang w:val="en-GB"/>
                    </w:rPr>
                    <w:t>2000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b/>
                      <w:color w:val="000000"/>
                      <w:sz w:val="24"/>
                      <w:szCs w:val="24"/>
                      <w:lang w:val="en-GB"/>
                    </w:rPr>
                  </w:pPr>
                  <w:r w:rsidRPr="00891151">
                    <w:rPr>
                      <w:rFonts w:ascii="Times New Roman" w:eastAsia="Times New Roman" w:hAnsi="Times New Roman"/>
                      <w:b/>
                      <w:color w:val="000000"/>
                      <w:sz w:val="24"/>
                      <w:szCs w:val="24"/>
                      <w:lang w:val="en-GB"/>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b/>
                      <w:color w:val="000000"/>
                      <w:sz w:val="24"/>
                      <w:szCs w:val="24"/>
                      <w:lang w:val="en-GB"/>
                    </w:rPr>
                  </w:pPr>
                  <w:r w:rsidRPr="00891151">
                    <w:rPr>
                      <w:rFonts w:ascii="Times New Roman" w:eastAsia="Times New Roman" w:hAnsi="Times New Roman"/>
                      <w:b/>
                      <w:color w:val="000000"/>
                      <w:sz w:val="24"/>
                      <w:szCs w:val="24"/>
                      <w:lang w:val="en-GB"/>
                    </w:rPr>
                    <w:t>2010</w:t>
                  </w:r>
                </w:p>
              </w:tc>
            </w:tr>
            <w:tr w:rsidR="00D8731F" w:rsidRPr="0089115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rPr>
                      <w:rFonts w:ascii="Times New Roman" w:eastAsia="Times New Roman" w:hAnsi="Times New Roman"/>
                      <w:b/>
                      <w:color w:val="000000"/>
                      <w:sz w:val="24"/>
                      <w:szCs w:val="24"/>
                      <w:lang w:val="en-GB"/>
                    </w:rPr>
                  </w:pPr>
                  <w:r w:rsidRPr="00891151">
                    <w:rPr>
                      <w:rFonts w:ascii="Times New Roman" w:eastAsia="Times New Roman" w:hAnsi="Times New Roman"/>
                      <w:b/>
                      <w:color w:val="000000"/>
                      <w:sz w:val="24"/>
                      <w:szCs w:val="24"/>
                      <w:lang w:val="en-GB"/>
                    </w:rPr>
                    <w:t xml:space="preserve">Plywood </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206353"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46,791</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002872"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57,704*</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002872"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6,234</w:t>
                  </w:r>
                </w:p>
              </w:tc>
            </w:tr>
            <w:tr w:rsidR="00D8731F" w:rsidRPr="0089115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rPr>
                      <w:rFonts w:ascii="Times New Roman" w:eastAsia="Times New Roman" w:hAnsi="Times New Roman"/>
                      <w:b/>
                      <w:color w:val="000000"/>
                      <w:sz w:val="24"/>
                      <w:szCs w:val="24"/>
                      <w:lang w:val="en-GB"/>
                    </w:rPr>
                  </w:pPr>
                  <w:r w:rsidRPr="00891151">
                    <w:rPr>
                      <w:rFonts w:ascii="Times New Roman" w:eastAsia="Times New Roman" w:hAnsi="Times New Roman"/>
                      <w:b/>
                      <w:color w:val="000000"/>
                      <w:sz w:val="24"/>
                      <w:szCs w:val="24"/>
                      <w:lang w:val="en-GB"/>
                    </w:rPr>
                    <w:t>Flooring</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2</w:t>
                  </w:r>
                  <w:r w:rsidR="00942AAF" w:rsidRPr="00891151">
                    <w:rPr>
                      <w:rFonts w:ascii="Times New Roman" w:eastAsia="Times New Roman" w:hAnsi="Times New Roman"/>
                      <w:color w:val="000000"/>
                      <w:sz w:val="24"/>
                      <w:szCs w:val="24"/>
                      <w:lang w:val="en-GB"/>
                    </w:rPr>
                    <w:t>,</w:t>
                  </w:r>
                  <w:r w:rsidRPr="00891151">
                    <w:rPr>
                      <w:rFonts w:ascii="Times New Roman" w:eastAsia="Times New Roman" w:hAnsi="Times New Roman"/>
                      <w:color w:val="000000"/>
                      <w:sz w:val="24"/>
                      <w:szCs w:val="24"/>
                      <w:lang w:val="en-GB"/>
                    </w:rPr>
                    <w:t>218</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6</w:t>
                  </w:r>
                  <w:r w:rsidR="00942AAF" w:rsidRPr="00891151">
                    <w:rPr>
                      <w:rFonts w:ascii="Times New Roman" w:eastAsia="Times New Roman" w:hAnsi="Times New Roman"/>
                      <w:color w:val="000000"/>
                      <w:sz w:val="24"/>
                      <w:szCs w:val="24"/>
                      <w:lang w:val="en-GB"/>
                    </w:rPr>
                    <w:t>,</w:t>
                  </w:r>
                  <w:r w:rsidRPr="00891151">
                    <w:rPr>
                      <w:rFonts w:ascii="Times New Roman" w:eastAsia="Times New Roman" w:hAnsi="Times New Roman"/>
                      <w:color w:val="000000"/>
                      <w:sz w:val="24"/>
                      <w:szCs w:val="24"/>
                      <w:lang w:val="en-GB"/>
                    </w:rPr>
                    <w:t>444</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002872"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817</w:t>
                  </w:r>
                </w:p>
              </w:tc>
            </w:tr>
            <w:tr w:rsidR="00D8731F" w:rsidRPr="0089115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rPr>
                      <w:rFonts w:ascii="Times New Roman" w:eastAsia="Times New Roman" w:hAnsi="Times New Roman"/>
                      <w:b/>
                      <w:color w:val="000000"/>
                      <w:sz w:val="24"/>
                      <w:szCs w:val="24"/>
                      <w:lang w:val="en-GB"/>
                    </w:rPr>
                  </w:pPr>
                  <w:r w:rsidRPr="00891151">
                    <w:rPr>
                      <w:rFonts w:ascii="Times New Roman" w:eastAsia="Times New Roman" w:hAnsi="Times New Roman"/>
                      <w:b/>
                      <w:color w:val="000000"/>
                      <w:sz w:val="24"/>
                      <w:szCs w:val="24"/>
                      <w:lang w:val="en-GB"/>
                    </w:rPr>
                    <w:t>Rotary Veneer</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75</w:t>
                  </w:r>
                  <w:r w:rsidR="00942AAF" w:rsidRPr="00891151">
                    <w:rPr>
                      <w:rFonts w:ascii="Times New Roman" w:eastAsia="Times New Roman" w:hAnsi="Times New Roman"/>
                      <w:color w:val="000000"/>
                      <w:sz w:val="24"/>
                      <w:szCs w:val="24"/>
                      <w:lang w:val="en-GB"/>
                    </w:rPr>
                    <w:t>,</w:t>
                  </w:r>
                  <w:r w:rsidRPr="00891151">
                    <w:rPr>
                      <w:rFonts w:ascii="Times New Roman" w:eastAsia="Times New Roman" w:hAnsi="Times New Roman"/>
                      <w:color w:val="000000"/>
                      <w:sz w:val="24"/>
                      <w:szCs w:val="24"/>
                      <w:lang w:val="en-GB"/>
                    </w:rPr>
                    <w:t>059</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59</w:t>
                  </w:r>
                  <w:r w:rsidR="00942AAF" w:rsidRPr="00891151">
                    <w:rPr>
                      <w:rFonts w:ascii="Times New Roman" w:eastAsia="Times New Roman" w:hAnsi="Times New Roman"/>
                      <w:color w:val="000000"/>
                      <w:sz w:val="24"/>
                      <w:szCs w:val="24"/>
                      <w:lang w:val="en-GB"/>
                    </w:rPr>
                    <w:t>,</w:t>
                  </w:r>
                  <w:r w:rsidRPr="00891151">
                    <w:rPr>
                      <w:rFonts w:ascii="Times New Roman" w:eastAsia="Times New Roman" w:hAnsi="Times New Roman"/>
                      <w:color w:val="000000"/>
                      <w:sz w:val="24"/>
                      <w:szCs w:val="24"/>
                      <w:lang w:val="en-GB"/>
                    </w:rPr>
                    <w:t>186</w:t>
                  </w:r>
                </w:p>
              </w:tc>
              <w:tc>
                <w:tcPr>
                  <w:tcW w:w="960" w:type="dxa"/>
                  <w:tcBorders>
                    <w:top w:val="nil"/>
                    <w:left w:val="nil"/>
                    <w:bottom w:val="single" w:sz="4" w:space="0" w:color="auto"/>
                    <w:right w:val="single" w:sz="4" w:space="0" w:color="auto"/>
                  </w:tcBorders>
                  <w:shd w:val="clear" w:color="auto" w:fill="auto"/>
                  <w:noWrap/>
                  <w:vAlign w:val="bottom"/>
                </w:tcPr>
                <w:p w:rsidR="00D8731F" w:rsidRPr="00891151" w:rsidRDefault="00D8731F" w:rsidP="0055464B">
                  <w:pPr>
                    <w:spacing w:after="0" w:line="240" w:lineRule="auto"/>
                    <w:jc w:val="right"/>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8904</w:t>
                  </w:r>
                </w:p>
              </w:tc>
            </w:tr>
          </w:tbl>
          <w:p w:rsidR="00D8731F" w:rsidRPr="00891151" w:rsidRDefault="00D8731F" w:rsidP="0055464B">
            <w:pPr>
              <w:spacing w:after="0" w:line="240" w:lineRule="auto"/>
              <w:rPr>
                <w:rFonts w:ascii="Times New Roman" w:hAnsi="Times New Roman"/>
                <w:i/>
                <w:sz w:val="24"/>
                <w:szCs w:val="24"/>
                <w:lang w:val="en-GB"/>
              </w:rPr>
            </w:pPr>
            <w:r w:rsidRPr="00891151">
              <w:rPr>
                <w:rFonts w:ascii="Times New Roman" w:hAnsi="Times New Roman"/>
                <w:i/>
                <w:sz w:val="24"/>
                <w:szCs w:val="24"/>
                <w:lang w:val="en-GB"/>
              </w:rPr>
              <w:t>Source: Forestry Commission, Ghana</w:t>
            </w:r>
          </w:p>
          <w:p w:rsidR="00D8731F" w:rsidRPr="00891151" w:rsidRDefault="00D8731F" w:rsidP="0055464B">
            <w:pPr>
              <w:pStyle w:val="NoSpacing1"/>
              <w:jc w:val="both"/>
              <w:rPr>
                <w:rFonts w:ascii="Times New Roman" w:hAnsi="Times New Roman"/>
                <w:b/>
                <w:sz w:val="24"/>
                <w:szCs w:val="24"/>
                <w:lang w:val="en-GB"/>
              </w:rPr>
            </w:pPr>
          </w:p>
          <w:p w:rsidR="00D8731F" w:rsidRPr="00891151" w:rsidRDefault="00D8731F" w:rsidP="0055464B">
            <w:pPr>
              <w:pStyle w:val="NoSpacing1"/>
              <w:jc w:val="both"/>
              <w:rPr>
                <w:rFonts w:ascii="Times New Roman" w:hAnsi="Times New Roman"/>
                <w:b/>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Ghana imported</w:t>
            </w:r>
            <w:r w:rsidRPr="00891151">
              <w:rPr>
                <w:rFonts w:ascii="Times New Roman" w:hAnsi="Times New Roman"/>
                <w:b/>
                <w:sz w:val="24"/>
                <w:szCs w:val="24"/>
                <w:lang w:val="en-GB"/>
              </w:rPr>
              <w:t xml:space="preserve"> </w:t>
            </w:r>
            <w:r w:rsidRPr="00891151">
              <w:rPr>
                <w:rFonts w:ascii="Times New Roman" w:hAnsi="Times New Roman"/>
                <w:sz w:val="24"/>
                <w:szCs w:val="24"/>
                <w:lang w:val="en-GB"/>
              </w:rPr>
              <w:t>US$148 million and 70 million worth of wooden products (including paper products) in 2010 and 2006 respectively.</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GLOBAL PRODUCTION OF BAMBOO</w:t>
            </w: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UN </w:t>
            </w:r>
            <w:proofErr w:type="spellStart"/>
            <w:r w:rsidRPr="00891151">
              <w:rPr>
                <w:rFonts w:ascii="Times New Roman" w:hAnsi="Times New Roman"/>
                <w:sz w:val="24"/>
                <w:szCs w:val="24"/>
                <w:lang w:val="en-GB"/>
              </w:rPr>
              <w:t>Comtrade</w:t>
            </w:r>
            <w:proofErr w:type="spellEnd"/>
            <w:r w:rsidRPr="00891151">
              <w:rPr>
                <w:rFonts w:ascii="Times New Roman" w:hAnsi="Times New Roman"/>
                <w:sz w:val="24"/>
                <w:szCs w:val="24"/>
                <w:lang w:val="en-GB"/>
              </w:rPr>
              <w:t xml:space="preserve"> statistics, in 2009 estimated the global export value of bamboo and rattan commodities at US$1.82 billion. The total import value of bamboo and rattan commodities in 2009 was about US$1.6 billion. </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Traditional bamboo and rattan products, specifically plaited products, including mats and screens, baskets and wicker work products, and semi-finished plaiting articles, constituted (40%) to the global export market in 2009. The further-processed bamboo products, such as flooring, panels, charcoal, pulp and paper, constituted 23% and bamboo and rattan furniture accounted for 21% of the total global export.</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color w:val="231815"/>
                <w:sz w:val="24"/>
                <w:szCs w:val="24"/>
                <w:lang w:val="en-GB"/>
              </w:rPr>
            </w:pPr>
            <w:r w:rsidRPr="00891151">
              <w:rPr>
                <w:rFonts w:ascii="Times New Roman" w:hAnsi="Times New Roman"/>
                <w:color w:val="231815"/>
                <w:sz w:val="24"/>
                <w:szCs w:val="24"/>
                <w:lang w:val="en-GB"/>
              </w:rPr>
              <w:t>Most of bamboo and rattan commodity trade occurs within Asia, in Europe, and between Asia and Europe and North America. Consumer countries in Europe and North America form the major import market with their imports accounting for 71% of the global import value in 2009.China made up 57.3% of the global bamboo and rattan exports worth US$1.0 billion in 2009.</w:t>
            </w:r>
          </w:p>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Top 10 Exporters of Bamboo Globally,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430"/>
            </w:tblGrid>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 xml:space="preserve">Country </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Volume of Global Exports (%)</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China</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57.3</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Indonesia</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14.8</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Vietnam</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4.6</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 xml:space="preserve">EU-27 </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3.0</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USA</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1.7</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Philippines</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1.6</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Thailand</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1.0</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Singapore</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1.0</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Myanmar</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0.8</w:t>
                  </w:r>
                </w:p>
              </w:tc>
            </w:tr>
            <w:tr w:rsidR="00D8731F" w:rsidRPr="00891151">
              <w:tc>
                <w:tcPr>
                  <w:tcW w:w="2065"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Malaysia</w:t>
                  </w:r>
                </w:p>
              </w:tc>
              <w:tc>
                <w:tcPr>
                  <w:tcW w:w="2430" w:type="dxa"/>
                </w:tcPr>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0.8</w:t>
                  </w:r>
                </w:p>
              </w:tc>
            </w:tr>
          </w:tbl>
          <w:p w:rsidR="00D8731F" w:rsidRPr="00891151" w:rsidRDefault="00D8731F" w:rsidP="0055464B">
            <w:pPr>
              <w:pStyle w:val="NoSpacing1"/>
              <w:jc w:val="both"/>
              <w:rPr>
                <w:rFonts w:ascii="Times New Roman" w:hAnsi="Times New Roman"/>
                <w:b/>
                <w:color w:val="231815"/>
                <w:sz w:val="24"/>
                <w:szCs w:val="24"/>
                <w:lang w:val="en-GB"/>
              </w:rPr>
            </w:pPr>
          </w:p>
          <w:p w:rsidR="00D8731F" w:rsidRPr="00891151" w:rsidRDefault="00D8731F" w:rsidP="0055464B">
            <w:pPr>
              <w:pStyle w:val="NoSpacing1"/>
              <w:jc w:val="both"/>
              <w:rPr>
                <w:rFonts w:ascii="Times New Roman" w:hAnsi="Times New Roman"/>
                <w:b/>
                <w:color w:val="231815"/>
                <w:sz w:val="24"/>
                <w:szCs w:val="24"/>
                <w:lang w:val="en-GB"/>
              </w:rPr>
            </w:pPr>
            <w:r w:rsidRPr="00891151">
              <w:rPr>
                <w:rFonts w:ascii="Times New Roman" w:hAnsi="Times New Roman"/>
                <w:b/>
                <w:color w:val="231815"/>
                <w:sz w:val="24"/>
                <w:szCs w:val="24"/>
                <w:lang w:val="en-GB"/>
              </w:rPr>
              <w:t>Source: International Network for Bamboo and Rattan (INBAR)</w:t>
            </w:r>
          </w:p>
          <w:p w:rsidR="00D8731F" w:rsidRPr="00891151" w:rsidRDefault="00D8731F" w:rsidP="0055464B">
            <w:pPr>
              <w:pStyle w:val="NoSpacing1"/>
              <w:jc w:val="both"/>
              <w:rPr>
                <w:rFonts w:ascii="Times New Roman" w:hAnsi="Times New Roman"/>
                <w:color w:val="231815"/>
                <w:sz w:val="24"/>
                <w:szCs w:val="24"/>
                <w:lang w:val="en-GB"/>
              </w:rPr>
            </w:pPr>
          </w:p>
          <w:p w:rsidR="00D8731F" w:rsidRPr="00891151" w:rsidRDefault="00D8731F" w:rsidP="0055464B">
            <w:pPr>
              <w:pStyle w:val="NoSpacing1"/>
              <w:jc w:val="both"/>
              <w:rPr>
                <w:rFonts w:ascii="Times New Roman" w:hAnsi="Times New Roman"/>
                <w:color w:val="231815"/>
                <w:sz w:val="24"/>
                <w:szCs w:val="24"/>
                <w:lang w:val="en-GB"/>
              </w:rPr>
            </w:pPr>
            <w:r w:rsidRPr="00891151">
              <w:rPr>
                <w:rFonts w:ascii="Times New Roman" w:hAnsi="Times New Roman"/>
                <w:color w:val="231815"/>
                <w:sz w:val="24"/>
                <w:szCs w:val="24"/>
                <w:lang w:val="en-GB"/>
              </w:rPr>
              <w:t xml:space="preserve">In 2009, the total </w:t>
            </w:r>
            <w:r w:rsidR="00002872" w:rsidRPr="00891151">
              <w:rPr>
                <w:rFonts w:ascii="Times New Roman" w:hAnsi="Times New Roman"/>
                <w:color w:val="231815"/>
                <w:sz w:val="24"/>
                <w:szCs w:val="24"/>
                <w:lang w:val="en-GB"/>
              </w:rPr>
              <w:t xml:space="preserve">global </w:t>
            </w:r>
            <w:r w:rsidRPr="00891151">
              <w:rPr>
                <w:rFonts w:ascii="Times New Roman" w:hAnsi="Times New Roman"/>
                <w:color w:val="231815"/>
                <w:sz w:val="24"/>
                <w:szCs w:val="24"/>
                <w:lang w:val="en-GB"/>
              </w:rPr>
              <w:t>export value of bamboo and rattan baskets and wickerwork products was US$435 million. Of this, bamboo articles accounted for just over half (US$227 million) the amount. More than 60% of imports are to markets in EU and USA, while Japan, Canada, the Republic of Korea, Australia and Russia also have significant import markets</w:t>
            </w:r>
          </w:p>
          <w:p w:rsidR="00D8731F" w:rsidRPr="00891151" w:rsidRDefault="00D8731F" w:rsidP="0055464B">
            <w:pPr>
              <w:pStyle w:val="NoSpacing1"/>
              <w:jc w:val="both"/>
              <w:rPr>
                <w:rFonts w:ascii="Times New Roman" w:hAnsi="Times New Roman"/>
                <w:color w:val="231815"/>
                <w:sz w:val="24"/>
                <w:szCs w:val="24"/>
                <w:lang w:val="en-GB"/>
              </w:rPr>
            </w:pPr>
          </w:p>
          <w:p w:rsidR="00D8731F" w:rsidRPr="00891151" w:rsidRDefault="00D8731F" w:rsidP="0055464B">
            <w:pPr>
              <w:pStyle w:val="NoSpacing1"/>
              <w:jc w:val="both"/>
              <w:rPr>
                <w:rFonts w:ascii="Times New Roman" w:hAnsi="Times New Roman"/>
                <w:color w:val="231815"/>
                <w:sz w:val="24"/>
                <w:szCs w:val="24"/>
                <w:lang w:val="en-GB"/>
              </w:rPr>
            </w:pPr>
            <w:r w:rsidRPr="00891151">
              <w:rPr>
                <w:rFonts w:ascii="Times New Roman" w:hAnsi="Times New Roman"/>
                <w:color w:val="231815"/>
                <w:sz w:val="24"/>
                <w:szCs w:val="24"/>
                <w:lang w:val="en-GB"/>
              </w:rPr>
              <w:t xml:space="preserve"> In 2009, the international export market for bamboo flooring was worth approximately US$252 million, with China accounting for US$224 million, or 89% of this total value. In 2009, EU and Canada were the two largest international importers of bamboo flooring, accounting for US$26 million and US$18 million, respectively, of the total global import market. USA, Mexico, New Zealand, Japan and Singapore are the other key international importers of bamboo flooring.</w:t>
            </w:r>
          </w:p>
          <w:p w:rsidR="00D8731F" w:rsidRPr="00891151" w:rsidRDefault="00D8731F" w:rsidP="0055464B">
            <w:pPr>
              <w:pStyle w:val="NoSpacing1"/>
              <w:jc w:val="both"/>
              <w:rPr>
                <w:rFonts w:ascii="Times New Roman" w:hAnsi="Times New Roman"/>
                <w:b/>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BAMBOO CULTIVATION AND HARVESTING IN GHANA</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Most bamboo in Ghana grows naturally in the wild. The most prevalent is the </w:t>
            </w:r>
            <w:proofErr w:type="spellStart"/>
            <w:r w:rsidRPr="00891151">
              <w:rPr>
                <w:rFonts w:ascii="Times New Roman" w:hAnsi="Times New Roman"/>
                <w:sz w:val="24"/>
                <w:szCs w:val="24"/>
                <w:lang w:val="en-GB"/>
              </w:rPr>
              <w:t>Vulgaris</w:t>
            </w:r>
            <w:proofErr w:type="spellEnd"/>
            <w:r w:rsidRPr="00891151">
              <w:rPr>
                <w:rFonts w:ascii="Times New Roman" w:hAnsi="Times New Roman"/>
                <w:sz w:val="24"/>
                <w:szCs w:val="24"/>
                <w:lang w:val="en-GB"/>
              </w:rPr>
              <w:t xml:space="preserve"> species. The Forestry Commission of Ghana is responsible for the regulation of utilization of forest and wildlife resources, the conservation and management of those resources and the coordination of policies related to them.</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The Western region of Ghana holds the highest stock of natural bamboo reserves estimated at over 60%, but most of the harvesting takes place in the Eastern Region due to its proximity to the Capital Accra where demand for the bamboo is higher. The Ashanti region however is the most populous region in Ghana with a population of over 4.7 million. Kumasi’s population is estimated at 2,035,064 in 2010. However because of its nature as a commercial hub, daytime population is estimated at over 2.5million. Kumasi as a result of the large population can provide an even larger market for bamboo products.</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Bamboo merchants are traditionally responsible for the harvesting of bamboo from the wild and supplying to processors who on average pay GHC8.00 (US$4.00) per hundred culms of bamboo harvested from traditional land owners or custodians in southern and mid Ghana. For forest reserve areas, a permit is issued for about GHC10.00 (US$5.00) per </w:t>
            </w:r>
            <w:proofErr w:type="gramStart"/>
            <w:r w:rsidRPr="00891151">
              <w:rPr>
                <w:rFonts w:ascii="Times New Roman" w:hAnsi="Times New Roman"/>
                <w:sz w:val="24"/>
                <w:szCs w:val="24"/>
                <w:lang w:val="en-GB"/>
              </w:rPr>
              <w:t>month which</w:t>
            </w:r>
            <w:proofErr w:type="gramEnd"/>
            <w:r w:rsidRPr="00891151">
              <w:rPr>
                <w:rFonts w:ascii="Times New Roman" w:hAnsi="Times New Roman"/>
                <w:sz w:val="24"/>
                <w:szCs w:val="24"/>
                <w:lang w:val="en-GB"/>
              </w:rPr>
              <w:t xml:space="preserve"> will cover about 100 to 150 head loads of </w:t>
            </w:r>
            <w:proofErr w:type="spellStart"/>
            <w:r w:rsidRPr="00891151">
              <w:rPr>
                <w:rFonts w:ascii="Times New Roman" w:hAnsi="Times New Roman"/>
                <w:sz w:val="24"/>
                <w:szCs w:val="24"/>
                <w:lang w:val="en-GB"/>
              </w:rPr>
              <w:t>culm</w:t>
            </w:r>
            <w:proofErr w:type="spellEnd"/>
            <w:r w:rsidRPr="00891151">
              <w:rPr>
                <w:rFonts w:ascii="Times New Roman" w:hAnsi="Times New Roman"/>
                <w:sz w:val="24"/>
                <w:szCs w:val="24"/>
                <w:lang w:val="en-GB"/>
              </w:rPr>
              <w:t xml:space="preserve">. In Northern Ghana an average of GHC0.75 (US$0.38) may be paid for each </w:t>
            </w:r>
            <w:proofErr w:type="spellStart"/>
            <w:r w:rsidRPr="00891151">
              <w:rPr>
                <w:rFonts w:ascii="Times New Roman" w:hAnsi="Times New Roman"/>
                <w:sz w:val="24"/>
                <w:szCs w:val="24"/>
                <w:lang w:val="en-GB"/>
              </w:rPr>
              <w:t>culm</w:t>
            </w:r>
            <w:proofErr w:type="spellEnd"/>
            <w:r w:rsidRPr="00891151">
              <w:rPr>
                <w:rFonts w:ascii="Times New Roman" w:hAnsi="Times New Roman"/>
                <w:sz w:val="24"/>
                <w:szCs w:val="24"/>
                <w:lang w:val="en-GB"/>
              </w:rPr>
              <w:t xml:space="preserve"> harvested.</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Bamboo harvesting in Ghana’s northern region is done mostly in the dry seasons. In the </w:t>
            </w:r>
            <w:proofErr w:type="gramStart"/>
            <w:r w:rsidRPr="00891151">
              <w:rPr>
                <w:rFonts w:ascii="Times New Roman" w:hAnsi="Times New Roman"/>
                <w:sz w:val="24"/>
                <w:szCs w:val="24"/>
                <w:lang w:val="en-GB"/>
              </w:rPr>
              <w:t>South which</w:t>
            </w:r>
            <w:proofErr w:type="gramEnd"/>
            <w:r w:rsidRPr="00891151">
              <w:rPr>
                <w:rFonts w:ascii="Times New Roman" w:hAnsi="Times New Roman"/>
                <w:sz w:val="24"/>
                <w:szCs w:val="24"/>
                <w:lang w:val="en-GB"/>
              </w:rPr>
              <w:t xml:space="preserve"> includes the Ashanti, Eastern and Western Regions where bamboo is widely found, harvesting is carried out all year round. </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BAMBOO FOR REAL ESTATE DEVELOPMENT (PLYWOOD, FOORING AND FURNITURE)</w:t>
            </w: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 xml:space="preserve">The Real Estate Market </w:t>
            </w:r>
          </w:p>
          <w:p w:rsidR="00D8731F" w:rsidRPr="00891151" w:rsidRDefault="00D8731F" w:rsidP="0055464B">
            <w:pPr>
              <w:autoSpaceDE w:val="0"/>
              <w:autoSpaceDN w:val="0"/>
              <w:adjustRightInd w:val="0"/>
              <w:spacing w:after="0" w:line="240" w:lineRule="auto"/>
              <w:jc w:val="both"/>
              <w:rPr>
                <w:rFonts w:ascii="Times New Roman" w:hAnsi="Times New Roman"/>
                <w:sz w:val="24"/>
                <w:szCs w:val="24"/>
                <w:lang w:val="en-GB"/>
              </w:rPr>
            </w:pPr>
            <w:r w:rsidRPr="00891151">
              <w:rPr>
                <w:rFonts w:ascii="Times New Roman" w:hAnsi="Times New Roman"/>
                <w:sz w:val="24"/>
                <w:szCs w:val="24"/>
                <w:lang w:val="en-GB"/>
              </w:rPr>
              <w:t xml:space="preserve">Bamboo products such as plywood, flooring and furniture can provide an answer to Ghana’s growing real estate sector. Ghana’s property market is dominated by residential and commercial development. The residential market is the most active, registering an estimated 85,000 transactions per annum over the past decade, with an estimated value of about US$1.7 </w:t>
            </w:r>
            <w:proofErr w:type="spellStart"/>
            <w:r w:rsidRPr="00891151">
              <w:rPr>
                <w:rFonts w:ascii="Times New Roman" w:hAnsi="Times New Roman"/>
                <w:sz w:val="24"/>
                <w:szCs w:val="24"/>
                <w:lang w:val="en-GB"/>
              </w:rPr>
              <w:t>bn</w:t>
            </w:r>
            <w:proofErr w:type="spellEnd"/>
            <w:r w:rsidRPr="00891151">
              <w:rPr>
                <w:rFonts w:ascii="Times New Roman" w:hAnsi="Times New Roman"/>
                <w:sz w:val="24"/>
                <w:szCs w:val="24"/>
                <w:lang w:val="en-GB"/>
              </w:rPr>
              <w:t xml:space="preserve"> per year.</w:t>
            </w:r>
          </w:p>
          <w:p w:rsidR="00D8731F" w:rsidRPr="00891151" w:rsidRDefault="00D8731F" w:rsidP="0055464B">
            <w:pPr>
              <w:autoSpaceDE w:val="0"/>
              <w:autoSpaceDN w:val="0"/>
              <w:adjustRightInd w:val="0"/>
              <w:spacing w:after="0" w:line="240" w:lineRule="auto"/>
              <w:jc w:val="both"/>
              <w:rPr>
                <w:rFonts w:ascii="Times New Roman" w:hAnsi="Times New Roman"/>
                <w:sz w:val="24"/>
                <w:szCs w:val="24"/>
                <w:lang w:val="en-GB"/>
              </w:rPr>
            </w:pPr>
          </w:p>
          <w:p w:rsidR="00D8731F" w:rsidRPr="00891151" w:rsidRDefault="00D8731F" w:rsidP="0055464B">
            <w:pPr>
              <w:autoSpaceDE w:val="0"/>
              <w:autoSpaceDN w:val="0"/>
              <w:adjustRightInd w:val="0"/>
              <w:spacing w:after="0" w:line="240" w:lineRule="auto"/>
              <w:jc w:val="both"/>
              <w:rPr>
                <w:rFonts w:ascii="Times New Roman" w:hAnsi="Times New Roman"/>
                <w:sz w:val="24"/>
                <w:szCs w:val="24"/>
                <w:lang w:val="en-GB"/>
              </w:rPr>
            </w:pPr>
            <w:r w:rsidRPr="00891151">
              <w:rPr>
                <w:rFonts w:ascii="Times New Roman" w:hAnsi="Times New Roman"/>
                <w:sz w:val="24"/>
                <w:szCs w:val="24"/>
                <w:lang w:val="en-GB"/>
              </w:rPr>
              <w:t>Ghana's current residential property demand is 150,000 units per annum, with a shortfall of over 100,000 housing units. Current production of residential properties average only 35,000 units per annum, implying a significant annual supply gap.</w:t>
            </w:r>
          </w:p>
          <w:p w:rsidR="00D8731F" w:rsidRPr="00891151" w:rsidRDefault="00D8731F" w:rsidP="0055464B">
            <w:pPr>
              <w:autoSpaceDE w:val="0"/>
              <w:autoSpaceDN w:val="0"/>
              <w:adjustRightInd w:val="0"/>
              <w:spacing w:after="0" w:line="240" w:lineRule="auto"/>
              <w:jc w:val="both"/>
              <w:rPr>
                <w:rFonts w:ascii="Times New Roman" w:hAnsi="Times New Roman"/>
                <w:sz w:val="24"/>
                <w:szCs w:val="24"/>
                <w:lang w:val="en-GB"/>
              </w:rPr>
            </w:pPr>
          </w:p>
          <w:p w:rsidR="00D8731F" w:rsidRPr="00891151" w:rsidRDefault="00D8731F" w:rsidP="0055464B">
            <w:pPr>
              <w:autoSpaceDE w:val="0"/>
              <w:autoSpaceDN w:val="0"/>
              <w:adjustRightInd w:val="0"/>
              <w:spacing w:after="0" w:line="240" w:lineRule="auto"/>
              <w:jc w:val="both"/>
              <w:rPr>
                <w:rFonts w:ascii="Times New Roman" w:hAnsi="Times New Roman"/>
                <w:sz w:val="24"/>
                <w:szCs w:val="24"/>
                <w:lang w:val="en-GB"/>
              </w:rPr>
            </w:pPr>
            <w:r w:rsidRPr="00891151">
              <w:rPr>
                <w:rFonts w:ascii="Times New Roman" w:hAnsi="Times New Roman"/>
                <w:sz w:val="24"/>
                <w:szCs w:val="24"/>
                <w:lang w:val="en-GB"/>
              </w:rPr>
              <w:t>Residential property rents range from US$1,500 to US$3,500 per month for bungalows in the upper-end market. Construction costs range from US$250-1,000 per m</w:t>
            </w:r>
            <w:r w:rsidRPr="00891151">
              <w:rPr>
                <w:rFonts w:ascii="Times New Roman" w:hAnsi="Times New Roman"/>
                <w:sz w:val="24"/>
                <w:szCs w:val="24"/>
                <w:vertAlign w:val="superscript"/>
                <w:lang w:val="en-GB"/>
              </w:rPr>
              <w:t>2</w:t>
            </w:r>
            <w:r w:rsidRPr="00891151">
              <w:rPr>
                <w:rFonts w:ascii="Times New Roman" w:hAnsi="Times New Roman"/>
                <w:sz w:val="24"/>
                <w:szCs w:val="24"/>
                <w:lang w:val="en-GB"/>
              </w:rPr>
              <w:t xml:space="preserve"> for buildings.</w:t>
            </w:r>
          </w:p>
          <w:p w:rsidR="00D8731F" w:rsidRPr="00891151" w:rsidRDefault="00D8731F" w:rsidP="0055464B">
            <w:pPr>
              <w:spacing w:line="240" w:lineRule="auto"/>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The total number of houses as of 2010, compared with the number of households, indicated acute overcrowding in most houses. On the average, there are about 7.3 persons living in each house in Ghana. Ashanti region recorded 8.3, higher than the national average, corresponding with its high population. The census also indicated that the average household size in Ghana is 4.4 persons with about 1.6 households per house, and a total of 3,392,745 housing units nationwide. This number of households </w:t>
            </w:r>
            <w:proofErr w:type="spellStart"/>
            <w:r w:rsidRPr="00891151">
              <w:rPr>
                <w:rFonts w:ascii="Times New Roman" w:hAnsi="Times New Roman"/>
                <w:sz w:val="24"/>
                <w:szCs w:val="24"/>
                <w:lang w:val="en-GB"/>
              </w:rPr>
              <w:t>vis-a-vis</w:t>
            </w:r>
            <w:proofErr w:type="spellEnd"/>
            <w:r w:rsidRPr="00891151">
              <w:rPr>
                <w:rFonts w:ascii="Times New Roman" w:hAnsi="Times New Roman"/>
                <w:sz w:val="24"/>
                <w:szCs w:val="24"/>
                <w:lang w:val="en-GB"/>
              </w:rPr>
              <w:t xml:space="preserve"> the population is clearly inadequate. For instance if every household of 4.4 persons were to have a separate unit of housing then all things being equal, with a population of about 25 million, Ghana will need a total of 5,604,277 housing units.</w:t>
            </w:r>
          </w:p>
          <w:p w:rsidR="00D8731F" w:rsidRPr="00891151" w:rsidRDefault="00D8731F" w:rsidP="0055464B">
            <w:pPr>
              <w:pStyle w:val="NoSpacing1"/>
              <w:jc w:val="both"/>
              <w:rPr>
                <w:rFonts w:ascii="Times New Roman" w:hAnsi="Times New Roman"/>
                <w:b/>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Bamboo Furniture</w:t>
            </w:r>
          </w:p>
          <w:p w:rsidR="00D8731F" w:rsidRPr="00891151" w:rsidRDefault="00D8731F" w:rsidP="0055464B">
            <w:pPr>
              <w:spacing w:before="100" w:beforeAutospacing="1" w:after="100" w:afterAutospacing="1" w:line="240" w:lineRule="auto"/>
              <w:rPr>
                <w:rFonts w:ascii="Times New Roman" w:eastAsia="Times New Roman" w:hAnsi="Times New Roman"/>
                <w:sz w:val="24"/>
                <w:szCs w:val="24"/>
                <w:lang w:val="en-GB"/>
              </w:rPr>
            </w:pPr>
            <w:r w:rsidRPr="00891151">
              <w:rPr>
                <w:rFonts w:ascii="Times New Roman" w:eastAsia="Times New Roman" w:hAnsi="Times New Roman"/>
                <w:sz w:val="24"/>
                <w:szCs w:val="24"/>
                <w:lang w:val="en-GB"/>
              </w:rPr>
              <w:t xml:space="preserve">Due to the growing deforestation resulting in low production of wooden furniture, Ghana imports significant amounts of wood and metal furniture to supplement the furniture produced locally. In 2008 Ghana imported close to US$18 million worth of wood and metal furniture. This furniture is imported primarily from Asia and Europe. </w:t>
            </w:r>
          </w:p>
          <w:p w:rsidR="00D8731F" w:rsidRPr="00891151" w:rsidRDefault="00D8731F" w:rsidP="0055464B">
            <w:pPr>
              <w:spacing w:before="100" w:beforeAutospacing="1" w:after="100" w:afterAutospacing="1" w:line="240" w:lineRule="auto"/>
              <w:rPr>
                <w:rFonts w:ascii="Times New Roman" w:eastAsia="Times New Roman" w:hAnsi="Times New Roman"/>
                <w:b/>
                <w:sz w:val="24"/>
                <w:szCs w:val="24"/>
                <w:lang w:val="en-GB"/>
              </w:rPr>
            </w:pPr>
            <w:r w:rsidRPr="00891151">
              <w:rPr>
                <w:rFonts w:ascii="Times New Roman" w:eastAsia="Times New Roman" w:hAnsi="Times New Roman"/>
                <w:b/>
                <w:sz w:val="24"/>
                <w:szCs w:val="24"/>
                <w:lang w:val="en-GB"/>
              </w:rPr>
              <w:t>Import of Wood and Metal Furniture Imports to Ghana (2005 to 2010)</w:t>
            </w:r>
          </w:p>
          <w:p w:rsidR="00D8731F" w:rsidRPr="00891151" w:rsidRDefault="00D8731F" w:rsidP="0055464B">
            <w:pPr>
              <w:spacing w:before="100" w:beforeAutospacing="1" w:after="100" w:afterAutospacing="1" w:line="240" w:lineRule="auto"/>
              <w:rPr>
                <w:rFonts w:ascii="Times New Roman" w:eastAsia="Times New Roman" w:hAnsi="Times New Roman"/>
                <w:sz w:val="24"/>
                <w:szCs w:val="24"/>
                <w:lang w:val="en-GB"/>
              </w:rPr>
            </w:pPr>
            <w:r w:rsidRPr="00891151">
              <w:rPr>
                <w:rFonts w:ascii="Times New Roman" w:eastAsia="Times New Roman" w:hAnsi="Times New Roman"/>
                <w:noProof/>
                <w:sz w:val="24"/>
                <w:szCs w:val="24"/>
                <w:lang w:val="en-GB"/>
              </w:rPr>
              <w:drawing>
                <wp:inline distT="0" distB="0" distL="0" distR="0">
                  <wp:extent cx="5234437" cy="2251494"/>
                  <wp:effectExtent l="19050" t="0" r="23363"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731F" w:rsidRPr="00891151" w:rsidRDefault="00D8731F" w:rsidP="0055464B">
            <w:pPr>
              <w:spacing w:before="100" w:beforeAutospacing="1" w:after="100" w:afterAutospacing="1" w:line="240" w:lineRule="auto"/>
              <w:rPr>
                <w:rFonts w:ascii="Times New Roman" w:eastAsia="Times New Roman" w:hAnsi="Times New Roman"/>
                <w:sz w:val="24"/>
                <w:szCs w:val="24"/>
                <w:lang w:val="en-GB"/>
              </w:rPr>
            </w:pPr>
            <w:r w:rsidRPr="00891151">
              <w:rPr>
                <w:rFonts w:ascii="Times New Roman" w:eastAsia="Times New Roman" w:hAnsi="Times New Roman"/>
                <w:sz w:val="24"/>
                <w:szCs w:val="24"/>
                <w:lang w:val="en-GB"/>
              </w:rPr>
              <w:t>Source: Ministry of Trade and Industry</w:t>
            </w:r>
          </w:p>
          <w:p w:rsidR="00D8731F" w:rsidRPr="00891151" w:rsidRDefault="00D8731F" w:rsidP="0055464B">
            <w:pPr>
              <w:spacing w:before="100" w:beforeAutospacing="1" w:after="100" w:afterAutospacing="1" w:line="240" w:lineRule="auto"/>
              <w:rPr>
                <w:rFonts w:ascii="Times New Roman" w:eastAsia="Times New Roman" w:hAnsi="Times New Roman"/>
                <w:sz w:val="24"/>
                <w:szCs w:val="24"/>
                <w:lang w:val="en-GB"/>
              </w:rPr>
            </w:pPr>
            <w:r w:rsidRPr="00891151">
              <w:rPr>
                <w:rFonts w:ascii="Times New Roman" w:eastAsia="Times New Roman" w:hAnsi="Times New Roman"/>
                <w:sz w:val="24"/>
                <w:szCs w:val="24"/>
                <w:lang w:val="en-GB"/>
              </w:rPr>
              <w:t xml:space="preserve">In Ghana currently, there are two main manufacturers of furniture, i.e. the traditional furniture makers (those who use timber/wood as raw material) and the bamboo and rattan furniture makers. The traditional furniture makers are quite numerous. In 2009, over 5000 furniture makers were relocated from one suburb of Kumasi to another under the </w:t>
            </w:r>
            <w:proofErr w:type="spellStart"/>
            <w:r w:rsidRPr="00891151">
              <w:rPr>
                <w:rFonts w:ascii="Times New Roman" w:eastAsia="Times New Roman" w:hAnsi="Times New Roman"/>
                <w:sz w:val="24"/>
                <w:szCs w:val="24"/>
                <w:lang w:val="en-GB"/>
              </w:rPr>
              <w:t>Sokoban</w:t>
            </w:r>
            <w:proofErr w:type="spellEnd"/>
            <w:r w:rsidRPr="00891151">
              <w:rPr>
                <w:rFonts w:ascii="Times New Roman" w:eastAsia="Times New Roman" w:hAnsi="Times New Roman"/>
                <w:sz w:val="24"/>
                <w:szCs w:val="24"/>
                <w:lang w:val="en-GB"/>
              </w:rPr>
              <w:t xml:space="preserve"> project.</w:t>
            </w: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Bamboo is used in addition to cane, rattan and wood to make furniture. Most of the bamboo furniture makers exist in clusters spread all over the country. In addition to furniture they make baskets, floor mats shoe racks, and other </w:t>
            </w:r>
            <w:proofErr w:type="spellStart"/>
            <w:r w:rsidRPr="00891151">
              <w:rPr>
                <w:rFonts w:ascii="Times New Roman" w:hAnsi="Times New Roman"/>
                <w:sz w:val="24"/>
                <w:szCs w:val="24"/>
                <w:lang w:val="en-GB"/>
              </w:rPr>
              <w:t>artifacts</w:t>
            </w:r>
            <w:proofErr w:type="spellEnd"/>
            <w:r w:rsidRPr="00891151">
              <w:rPr>
                <w:rFonts w:ascii="Times New Roman" w:hAnsi="Times New Roman"/>
                <w:sz w:val="24"/>
                <w:szCs w:val="24"/>
                <w:lang w:val="en-GB"/>
              </w:rPr>
              <w:t xml:space="preserve">. </w:t>
            </w:r>
          </w:p>
          <w:p w:rsidR="00D8731F" w:rsidRPr="00891151" w:rsidRDefault="00D8731F" w:rsidP="0055464B">
            <w:pPr>
              <w:pStyle w:val="NoSpacing1"/>
              <w:jc w:val="both"/>
              <w:rPr>
                <w:rFonts w:ascii="Times New Roman" w:hAnsi="Times New Roman"/>
                <w:sz w:val="24"/>
                <w:szCs w:val="24"/>
                <w:lang w:val="en-GB"/>
              </w:rPr>
            </w:pPr>
            <w:proofErr w:type="gramStart"/>
            <w:r w:rsidRPr="00891151">
              <w:rPr>
                <w:rFonts w:ascii="Times New Roman" w:hAnsi="Times New Roman"/>
                <w:sz w:val="24"/>
                <w:szCs w:val="24"/>
                <w:lang w:val="en-GB"/>
              </w:rPr>
              <w:t>The raw material, i.e. the bamboo, is supplied by merchants, who supply the bamboo on a weekly basis</w:t>
            </w:r>
            <w:proofErr w:type="gramEnd"/>
            <w:r w:rsidRPr="00891151">
              <w:rPr>
                <w:rFonts w:ascii="Times New Roman" w:hAnsi="Times New Roman"/>
                <w:sz w:val="24"/>
                <w:szCs w:val="24"/>
                <w:lang w:val="en-GB"/>
              </w:rPr>
              <w:t xml:space="preserve">. Each furniture maker buys an average of three (3) bamboo culms per week. The average price a bamboo Culm is GHC1.40 (US$0.70). Each furniture maker makes an average of one (1) set of furniture a month in addition to other bamboo products. A set of bamboo furniture which is made up of one (1) three </w:t>
            </w:r>
            <w:proofErr w:type="spellStart"/>
            <w:r w:rsidRPr="00891151">
              <w:rPr>
                <w:rFonts w:ascii="Times New Roman" w:hAnsi="Times New Roman"/>
                <w:sz w:val="24"/>
                <w:szCs w:val="24"/>
                <w:lang w:val="en-GB"/>
              </w:rPr>
              <w:t>seater</w:t>
            </w:r>
            <w:proofErr w:type="spellEnd"/>
            <w:r w:rsidRPr="00891151">
              <w:rPr>
                <w:rFonts w:ascii="Times New Roman" w:hAnsi="Times New Roman"/>
                <w:sz w:val="24"/>
                <w:szCs w:val="24"/>
                <w:lang w:val="en-GB"/>
              </w:rPr>
              <w:t xml:space="preserve"> sofa, one (1) 2 </w:t>
            </w:r>
            <w:proofErr w:type="spellStart"/>
            <w:r w:rsidRPr="00891151">
              <w:rPr>
                <w:rFonts w:ascii="Times New Roman" w:hAnsi="Times New Roman"/>
                <w:sz w:val="24"/>
                <w:szCs w:val="24"/>
                <w:lang w:val="en-GB"/>
              </w:rPr>
              <w:t>seater</w:t>
            </w:r>
            <w:proofErr w:type="spellEnd"/>
            <w:r w:rsidRPr="00891151">
              <w:rPr>
                <w:rFonts w:ascii="Times New Roman" w:hAnsi="Times New Roman"/>
                <w:sz w:val="24"/>
                <w:szCs w:val="24"/>
                <w:lang w:val="en-GB"/>
              </w:rPr>
              <w:t xml:space="preserve"> sofa, two (2) single </w:t>
            </w:r>
            <w:proofErr w:type="spellStart"/>
            <w:r w:rsidRPr="00891151">
              <w:rPr>
                <w:rFonts w:ascii="Times New Roman" w:hAnsi="Times New Roman"/>
                <w:sz w:val="24"/>
                <w:szCs w:val="24"/>
                <w:lang w:val="en-GB"/>
              </w:rPr>
              <w:t>seaters</w:t>
            </w:r>
            <w:proofErr w:type="spellEnd"/>
            <w:r w:rsidRPr="00891151">
              <w:rPr>
                <w:rFonts w:ascii="Times New Roman" w:hAnsi="Times New Roman"/>
                <w:sz w:val="24"/>
                <w:szCs w:val="24"/>
                <w:lang w:val="en-GB"/>
              </w:rPr>
              <w:t xml:space="preserve"> and a centre table will sell for an average of GHC500.00 (US$250.00)</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eastAsia="Times New Roman" w:hAnsi="Times New Roman"/>
                <w:sz w:val="24"/>
                <w:szCs w:val="24"/>
                <w:lang w:val="en-GB"/>
              </w:rPr>
            </w:pPr>
            <w:r w:rsidRPr="00891151">
              <w:rPr>
                <w:rFonts w:ascii="Times New Roman" w:eastAsia="Times New Roman" w:hAnsi="Times New Roman"/>
                <w:sz w:val="24"/>
                <w:szCs w:val="24"/>
                <w:lang w:val="en-GB"/>
              </w:rPr>
              <w:t xml:space="preserve">The low level of production is not as a result of low demand but rather the inability of the bamboo furniture makers to supply. Most producers produce at a subsistence level, because of the lack of technical know-how and machinery to maximize their efficiency. The whole process of making the furniture is </w:t>
            </w:r>
            <w:proofErr w:type="gramStart"/>
            <w:r w:rsidRPr="00891151">
              <w:rPr>
                <w:rFonts w:ascii="Times New Roman" w:eastAsia="Times New Roman" w:hAnsi="Times New Roman"/>
                <w:sz w:val="24"/>
                <w:szCs w:val="24"/>
                <w:lang w:val="en-GB"/>
              </w:rPr>
              <w:t>manual which</w:t>
            </w:r>
            <w:proofErr w:type="gramEnd"/>
            <w:r w:rsidRPr="00891151">
              <w:rPr>
                <w:rFonts w:ascii="Times New Roman" w:eastAsia="Times New Roman" w:hAnsi="Times New Roman"/>
                <w:sz w:val="24"/>
                <w:szCs w:val="24"/>
                <w:lang w:val="en-GB"/>
              </w:rPr>
              <w:t xml:space="preserve"> tends to be time consuming. Even though they operate in a cluster, each individual is responsible for his own production from start to finish and marketing. Most of the furniture makers and bamboo suppliers are illiterate and semi literate therefore are unable to do proper costing and accounting. These factors together contribute to the low production levels.</w:t>
            </w:r>
          </w:p>
          <w:p w:rsidR="00D8731F" w:rsidRPr="00891151" w:rsidRDefault="00D8731F" w:rsidP="0055464B">
            <w:pPr>
              <w:spacing w:before="100" w:beforeAutospacing="1" w:after="100" w:afterAutospacing="1" w:line="240" w:lineRule="auto"/>
              <w:rPr>
                <w:rFonts w:ascii="Times New Roman" w:eastAsia="Times New Roman" w:hAnsi="Times New Roman"/>
                <w:sz w:val="24"/>
                <w:szCs w:val="24"/>
                <w:lang w:val="en-GB"/>
              </w:rPr>
            </w:pPr>
            <w:r w:rsidRPr="00891151">
              <w:rPr>
                <w:rFonts w:ascii="Times New Roman" w:eastAsia="Times New Roman" w:hAnsi="Times New Roman"/>
                <w:sz w:val="24"/>
                <w:szCs w:val="24"/>
                <w:lang w:val="en-GB"/>
              </w:rPr>
              <w:t>Due of the high demand for furniture in general, most consumers use the bamboo furniture to compl</w:t>
            </w:r>
            <w:r w:rsidR="00002872" w:rsidRPr="00891151">
              <w:rPr>
                <w:rFonts w:ascii="Times New Roman" w:eastAsia="Times New Roman" w:hAnsi="Times New Roman"/>
                <w:sz w:val="24"/>
                <w:szCs w:val="24"/>
                <w:lang w:val="en-GB"/>
              </w:rPr>
              <w:t>i</w:t>
            </w:r>
            <w:r w:rsidRPr="00891151">
              <w:rPr>
                <w:rFonts w:ascii="Times New Roman" w:eastAsia="Times New Roman" w:hAnsi="Times New Roman"/>
                <w:sz w:val="24"/>
                <w:szCs w:val="24"/>
                <w:lang w:val="en-GB"/>
              </w:rPr>
              <w:t>ment furniture made from wood. This demand has also led to an increase in imported metal and wood furniture (as indicated earlier), because furniture made from traditional wood has become more expensive.</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BAMBOO CHARCOAL</w:t>
            </w:r>
          </w:p>
          <w:p w:rsidR="003E7C73" w:rsidRPr="00891151" w:rsidRDefault="003E7C73" w:rsidP="0055464B">
            <w:pPr>
              <w:pStyle w:val="NoSpacing1"/>
              <w:jc w:val="both"/>
              <w:rPr>
                <w:rFonts w:ascii="Times New Roman" w:hAnsi="Times New Roman"/>
                <w:color w:val="231815"/>
                <w:sz w:val="24"/>
                <w:szCs w:val="24"/>
                <w:lang w:val="en-GB"/>
              </w:rPr>
            </w:pPr>
            <w:r w:rsidRPr="00891151">
              <w:rPr>
                <w:rFonts w:ascii="Times New Roman" w:hAnsi="Times New Roman"/>
                <w:color w:val="231815"/>
                <w:sz w:val="24"/>
                <w:szCs w:val="24"/>
                <w:lang w:val="en-GB"/>
              </w:rPr>
              <w:t>Bamboo can be used to produce charcoal. Bamboo charcoal can replace the traditional charcoal made from trees, thus decreasing deforestation. Nigeria was the top exporter of bamboo charcoal globally in 2009, with an export value of about US$7 million</w:t>
            </w:r>
          </w:p>
          <w:p w:rsidR="003E7C73" w:rsidRPr="00891151" w:rsidRDefault="003E7C73" w:rsidP="0055464B">
            <w:pPr>
              <w:pStyle w:val="NoSpacing1"/>
              <w:jc w:val="both"/>
              <w:rPr>
                <w:rFonts w:ascii="Times New Roman" w:hAnsi="Times New Roman"/>
                <w:color w:val="231815"/>
                <w:sz w:val="24"/>
                <w:szCs w:val="24"/>
                <w:lang w:val="en-GB"/>
              </w:rPr>
            </w:pPr>
          </w:p>
          <w:p w:rsidR="00D8731F" w:rsidRPr="00891151" w:rsidRDefault="00D8731F" w:rsidP="0055464B">
            <w:pPr>
              <w:pStyle w:val="NoSpacing1"/>
              <w:jc w:val="both"/>
              <w:rPr>
                <w:rFonts w:ascii="Times New Roman" w:hAnsi="Times New Roman"/>
                <w:color w:val="231815"/>
                <w:sz w:val="24"/>
                <w:szCs w:val="24"/>
                <w:lang w:val="en-GB"/>
              </w:rPr>
            </w:pPr>
            <w:r w:rsidRPr="00891151">
              <w:rPr>
                <w:rFonts w:ascii="Times New Roman" w:hAnsi="Times New Roman"/>
                <w:color w:val="231815"/>
                <w:sz w:val="24"/>
                <w:szCs w:val="24"/>
                <w:lang w:val="en-GB"/>
              </w:rPr>
              <w:t>Estimates from the Food and Agriculture Organization (FAO) suggests that 14 million m</w:t>
            </w:r>
            <w:r w:rsidRPr="00891151">
              <w:rPr>
                <w:rFonts w:ascii="Times New Roman" w:hAnsi="Times New Roman"/>
                <w:color w:val="231815"/>
                <w:sz w:val="24"/>
                <w:szCs w:val="24"/>
                <w:vertAlign w:val="superscript"/>
                <w:lang w:val="en-GB"/>
              </w:rPr>
              <w:t>3</w:t>
            </w:r>
            <w:r w:rsidRPr="00891151">
              <w:rPr>
                <w:rFonts w:ascii="Times New Roman" w:hAnsi="Times New Roman"/>
                <w:color w:val="231815"/>
                <w:sz w:val="24"/>
                <w:szCs w:val="24"/>
                <w:lang w:val="en-GB"/>
              </w:rPr>
              <w:t xml:space="preserve"> of wood is used for energy production in Ghana. 69% of all urban households in Ghana use charcoal for cooking and heating and the annual per capita consumption </w:t>
            </w:r>
            <w:proofErr w:type="gramStart"/>
            <w:r w:rsidRPr="00891151">
              <w:rPr>
                <w:rFonts w:ascii="Times New Roman" w:hAnsi="Times New Roman"/>
                <w:color w:val="231815"/>
                <w:sz w:val="24"/>
                <w:szCs w:val="24"/>
                <w:lang w:val="en-GB"/>
              </w:rPr>
              <w:t>is</w:t>
            </w:r>
            <w:proofErr w:type="gramEnd"/>
            <w:r w:rsidRPr="00891151">
              <w:rPr>
                <w:rFonts w:ascii="Times New Roman" w:hAnsi="Times New Roman"/>
                <w:color w:val="231815"/>
                <w:sz w:val="24"/>
                <w:szCs w:val="24"/>
                <w:lang w:val="en-GB"/>
              </w:rPr>
              <w:t xml:space="preserve"> around 180 kg. The total annual consumption is about 700,000 tons.</w:t>
            </w:r>
          </w:p>
          <w:p w:rsidR="00D8731F" w:rsidRPr="00891151" w:rsidRDefault="00D8731F" w:rsidP="0055464B">
            <w:pPr>
              <w:pStyle w:val="NoSpacing1"/>
              <w:jc w:val="both"/>
              <w:rPr>
                <w:rFonts w:ascii="Times New Roman" w:hAnsi="Times New Roman"/>
                <w:b/>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bCs/>
                <w:sz w:val="24"/>
                <w:szCs w:val="24"/>
                <w:lang w:val="en-GB"/>
              </w:rPr>
              <w:t>The International Network for Bamboo and Rattan (INBAR),</w:t>
            </w:r>
            <w:r w:rsidRPr="00891151">
              <w:rPr>
                <w:rFonts w:ascii="Times New Roman" w:hAnsi="Times New Roman"/>
                <w:sz w:val="24"/>
                <w:szCs w:val="24"/>
                <w:lang w:val="en-GB"/>
              </w:rPr>
              <w:t xml:space="preserve"> the Forestry Research Institute of Ghana (FORIG) and Bamboo and Rattan Development Programme (BARADEP) </w:t>
            </w:r>
            <w:proofErr w:type="gramStart"/>
            <w:r w:rsidRPr="00891151">
              <w:rPr>
                <w:rFonts w:ascii="Times New Roman" w:hAnsi="Times New Roman"/>
                <w:sz w:val="24"/>
                <w:szCs w:val="24"/>
                <w:lang w:val="en-GB"/>
              </w:rPr>
              <w:t>have</w:t>
            </w:r>
            <w:proofErr w:type="gramEnd"/>
            <w:r w:rsidRPr="00891151">
              <w:rPr>
                <w:rFonts w:ascii="Times New Roman" w:hAnsi="Times New Roman"/>
                <w:sz w:val="24"/>
                <w:szCs w:val="24"/>
                <w:lang w:val="en-GB"/>
              </w:rPr>
              <w:t xml:space="preserve"> piloted a programme in </w:t>
            </w:r>
            <w:proofErr w:type="spellStart"/>
            <w:r w:rsidRPr="00891151">
              <w:rPr>
                <w:rFonts w:ascii="Times New Roman" w:hAnsi="Times New Roman"/>
                <w:sz w:val="24"/>
                <w:szCs w:val="24"/>
                <w:lang w:val="en-GB"/>
              </w:rPr>
              <w:t>Tandan</w:t>
            </w:r>
            <w:proofErr w:type="spellEnd"/>
            <w:r w:rsidRPr="00891151">
              <w:rPr>
                <w:rFonts w:ascii="Times New Roman" w:hAnsi="Times New Roman"/>
                <w:sz w:val="24"/>
                <w:szCs w:val="24"/>
                <w:lang w:val="en-GB"/>
              </w:rPr>
              <w:t xml:space="preserve"> in </w:t>
            </w:r>
            <w:proofErr w:type="spellStart"/>
            <w:r w:rsidRPr="00891151">
              <w:rPr>
                <w:rFonts w:ascii="Times New Roman" w:hAnsi="Times New Roman"/>
                <w:sz w:val="24"/>
                <w:szCs w:val="24"/>
                <w:lang w:val="en-GB"/>
              </w:rPr>
              <w:t>Ellembelle</w:t>
            </w:r>
            <w:proofErr w:type="spellEnd"/>
            <w:r w:rsidRPr="00891151">
              <w:rPr>
                <w:rFonts w:ascii="Times New Roman" w:hAnsi="Times New Roman"/>
                <w:sz w:val="24"/>
                <w:szCs w:val="24"/>
                <w:lang w:val="en-GB"/>
              </w:rPr>
              <w:t xml:space="preserve"> District and </w:t>
            </w:r>
            <w:proofErr w:type="spellStart"/>
            <w:r w:rsidRPr="00891151">
              <w:rPr>
                <w:rFonts w:ascii="Times New Roman" w:hAnsi="Times New Roman"/>
                <w:sz w:val="24"/>
                <w:szCs w:val="24"/>
                <w:lang w:val="en-GB"/>
              </w:rPr>
              <w:t>Daboase</w:t>
            </w:r>
            <w:proofErr w:type="spellEnd"/>
            <w:r w:rsidRPr="00891151">
              <w:rPr>
                <w:rFonts w:ascii="Times New Roman" w:hAnsi="Times New Roman"/>
                <w:sz w:val="24"/>
                <w:szCs w:val="24"/>
                <w:lang w:val="en-GB"/>
              </w:rPr>
              <w:t xml:space="preserve"> in the Western region to produce bamboo charcoal. The programme works with the Micro Small Enterprise Association at </w:t>
            </w:r>
            <w:proofErr w:type="spellStart"/>
            <w:r w:rsidRPr="00891151">
              <w:rPr>
                <w:rFonts w:ascii="Times New Roman" w:hAnsi="Times New Roman"/>
                <w:sz w:val="24"/>
                <w:szCs w:val="24"/>
                <w:lang w:val="en-GB"/>
              </w:rPr>
              <w:t>Daboase</w:t>
            </w:r>
            <w:proofErr w:type="spellEnd"/>
            <w:r w:rsidRPr="00891151">
              <w:rPr>
                <w:rFonts w:ascii="Times New Roman" w:hAnsi="Times New Roman"/>
                <w:sz w:val="24"/>
                <w:szCs w:val="24"/>
                <w:lang w:val="en-GB"/>
              </w:rPr>
              <w:t>. In October and November 2011, 505 tons of bamboo charcoal was produced from the programme.</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BAMBOO BICYCLES AND OTHER PRODUCTS</w:t>
            </w: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Bamboo can be also used for the production of other products, such as bicycles or toothpicks, to name just a few. </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 Ghana has seen an average increase in the value of bicycles imported from 2000 to 2010. In 2010 Ghana imported over US$15 million worth of bicycles. Bicycles are an important means transport in the country especially in the Northern regions of Ghana.</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b/>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Ghana Bicycle Imports (2000 To 2010)</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noProof/>
                <w:sz w:val="24"/>
                <w:szCs w:val="24"/>
                <w:lang w:val="en-GB"/>
              </w:rPr>
              <w:drawing>
                <wp:inline distT="0" distB="0" distL="0" distR="0">
                  <wp:extent cx="5096414" cy="2268748"/>
                  <wp:effectExtent l="19050" t="0" r="28036"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i/>
                <w:sz w:val="24"/>
                <w:szCs w:val="24"/>
                <w:lang w:val="en-GB"/>
              </w:rPr>
            </w:pPr>
            <w:r w:rsidRPr="00891151">
              <w:rPr>
                <w:rFonts w:ascii="Times New Roman" w:hAnsi="Times New Roman"/>
                <w:i/>
                <w:sz w:val="24"/>
                <w:szCs w:val="24"/>
                <w:lang w:val="en-GB"/>
              </w:rPr>
              <w:t xml:space="preserve">Source: Ministry of Trade and Industry </w:t>
            </w:r>
          </w:p>
          <w:p w:rsidR="00D8731F" w:rsidRPr="00891151" w:rsidRDefault="00D8731F" w:rsidP="0055464B">
            <w:pPr>
              <w:pStyle w:val="NoSpacing1"/>
              <w:jc w:val="both"/>
              <w:rPr>
                <w:rFonts w:ascii="Times New Roman" w:hAnsi="Times New Roman"/>
                <w:i/>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 xml:space="preserve">The Ashanti region as a whole plays host 3 </w:t>
            </w:r>
            <w:proofErr w:type="gramStart"/>
            <w:r w:rsidRPr="00891151">
              <w:rPr>
                <w:rFonts w:ascii="Times New Roman" w:hAnsi="Times New Roman"/>
                <w:sz w:val="24"/>
                <w:szCs w:val="24"/>
                <w:lang w:val="en-GB"/>
              </w:rPr>
              <w:t>organizations which</w:t>
            </w:r>
            <w:proofErr w:type="gramEnd"/>
            <w:r w:rsidRPr="00891151">
              <w:rPr>
                <w:rFonts w:ascii="Times New Roman" w:hAnsi="Times New Roman"/>
                <w:sz w:val="24"/>
                <w:szCs w:val="24"/>
                <w:lang w:val="en-GB"/>
              </w:rPr>
              <w:t xml:space="preserve"> use bamboo for the production of bicycles. Two of these organizations are active in the production while the third is on a pilot basis with its emphasis the training of bamboo bicycle artisans.</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The major player amongst the 3 companies is the Bamboo Bikes Limited (BBL). BBL was identified for implementation when an investor, a Kumasi indigene, participated in an “Investment Promotion for Kumasi Forum” organized by the Millennium Cities Initiative (MCI) in September 2008). This was after MCI and KPMG had profiled this investment opportunity.</w:t>
            </w:r>
          </w:p>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The company was incorporated in 2009, however actual production begun in January 2011</w:t>
            </w:r>
          </w:p>
          <w:p w:rsidR="00D8731F" w:rsidRPr="00891151" w:rsidRDefault="00D8731F" w:rsidP="0055464B">
            <w:pPr>
              <w:pStyle w:val="NoSpacing1"/>
              <w:jc w:val="both"/>
              <w:rPr>
                <w:rFonts w:ascii="Times New Roman" w:hAnsi="Times New Roman"/>
                <w:sz w:val="24"/>
                <w:szCs w:val="24"/>
                <w:lang w:val="en-GB"/>
              </w:rPr>
            </w:pPr>
          </w:p>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Bamboo Bikes Limited Units of bicycles sold January 2011 to June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5"/>
              <w:gridCol w:w="3070"/>
            </w:tblGrid>
            <w:tr w:rsidR="00D8731F" w:rsidRPr="00891151">
              <w:trPr>
                <w:trHeight w:val="377"/>
              </w:trPr>
              <w:tc>
                <w:tcPr>
                  <w:tcW w:w="3495" w:type="dxa"/>
                </w:tcPr>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MARKET</w:t>
                  </w:r>
                </w:p>
              </w:tc>
              <w:tc>
                <w:tcPr>
                  <w:tcW w:w="3070" w:type="dxa"/>
                </w:tcPr>
                <w:p w:rsidR="00D8731F" w:rsidRPr="00891151" w:rsidRDefault="00D8731F" w:rsidP="0055464B">
                  <w:pPr>
                    <w:pStyle w:val="NoSpacing1"/>
                    <w:jc w:val="center"/>
                    <w:rPr>
                      <w:rFonts w:ascii="Times New Roman" w:hAnsi="Times New Roman"/>
                      <w:b/>
                      <w:sz w:val="24"/>
                      <w:szCs w:val="24"/>
                      <w:lang w:val="en-GB"/>
                    </w:rPr>
                  </w:pPr>
                  <w:r w:rsidRPr="00891151">
                    <w:rPr>
                      <w:rFonts w:ascii="Times New Roman" w:hAnsi="Times New Roman"/>
                      <w:b/>
                      <w:sz w:val="24"/>
                      <w:szCs w:val="24"/>
                      <w:lang w:val="en-GB"/>
                    </w:rPr>
                    <w:t>NUMBER OF BICYCLES</w:t>
                  </w:r>
                </w:p>
              </w:tc>
            </w:tr>
            <w:tr w:rsidR="00D8731F" w:rsidRPr="00891151">
              <w:trPr>
                <w:trHeight w:val="400"/>
              </w:trPr>
              <w:tc>
                <w:tcPr>
                  <w:tcW w:w="3495" w:type="dxa"/>
                </w:tcPr>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Domestic</w:t>
                  </w:r>
                </w:p>
              </w:tc>
              <w:tc>
                <w:tcPr>
                  <w:tcW w:w="3070" w:type="dxa"/>
                </w:tcPr>
                <w:p w:rsidR="00D8731F" w:rsidRPr="00891151" w:rsidRDefault="00D8731F" w:rsidP="0055464B">
                  <w:pPr>
                    <w:pStyle w:val="NoSpacing1"/>
                    <w:jc w:val="center"/>
                    <w:rPr>
                      <w:rFonts w:ascii="Times New Roman" w:hAnsi="Times New Roman"/>
                      <w:sz w:val="24"/>
                      <w:szCs w:val="24"/>
                      <w:lang w:val="en-GB"/>
                    </w:rPr>
                  </w:pPr>
                  <w:r w:rsidRPr="00891151">
                    <w:rPr>
                      <w:rFonts w:ascii="Times New Roman" w:hAnsi="Times New Roman"/>
                      <w:sz w:val="24"/>
                      <w:szCs w:val="24"/>
                      <w:lang w:val="en-GB"/>
                    </w:rPr>
                    <w:t>994</w:t>
                  </w:r>
                </w:p>
              </w:tc>
            </w:tr>
            <w:tr w:rsidR="00D8731F" w:rsidRPr="00891151">
              <w:trPr>
                <w:trHeight w:val="400"/>
              </w:trPr>
              <w:tc>
                <w:tcPr>
                  <w:tcW w:w="3495" w:type="dxa"/>
                </w:tcPr>
                <w:p w:rsidR="00D8731F"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International</w:t>
                  </w:r>
                </w:p>
              </w:tc>
              <w:tc>
                <w:tcPr>
                  <w:tcW w:w="3070" w:type="dxa"/>
                </w:tcPr>
                <w:p w:rsidR="00D8731F" w:rsidRPr="00891151" w:rsidRDefault="00D8731F" w:rsidP="0055464B">
                  <w:pPr>
                    <w:pStyle w:val="NoSpacing1"/>
                    <w:jc w:val="center"/>
                    <w:rPr>
                      <w:rFonts w:ascii="Times New Roman" w:hAnsi="Times New Roman"/>
                      <w:sz w:val="24"/>
                      <w:szCs w:val="24"/>
                      <w:lang w:val="en-GB"/>
                    </w:rPr>
                  </w:pPr>
                  <w:r w:rsidRPr="00891151">
                    <w:rPr>
                      <w:rFonts w:ascii="Times New Roman" w:hAnsi="Times New Roman"/>
                      <w:sz w:val="24"/>
                      <w:szCs w:val="24"/>
                      <w:lang w:val="en-GB"/>
                    </w:rPr>
                    <w:t>80</w:t>
                  </w:r>
                </w:p>
              </w:tc>
            </w:tr>
            <w:tr w:rsidR="00D8731F" w:rsidRPr="00891151">
              <w:trPr>
                <w:trHeight w:val="400"/>
              </w:trPr>
              <w:tc>
                <w:tcPr>
                  <w:tcW w:w="3495" w:type="dxa"/>
                </w:tcPr>
                <w:p w:rsidR="00D8731F" w:rsidRPr="00891151" w:rsidRDefault="00D8731F" w:rsidP="0055464B">
                  <w:pPr>
                    <w:pStyle w:val="NoSpacing1"/>
                    <w:jc w:val="both"/>
                    <w:rPr>
                      <w:rFonts w:ascii="Times New Roman" w:hAnsi="Times New Roman"/>
                      <w:b/>
                      <w:sz w:val="24"/>
                      <w:szCs w:val="24"/>
                      <w:lang w:val="en-GB"/>
                    </w:rPr>
                  </w:pPr>
                  <w:r w:rsidRPr="00891151">
                    <w:rPr>
                      <w:rFonts w:ascii="Times New Roman" w:hAnsi="Times New Roman"/>
                      <w:b/>
                      <w:sz w:val="24"/>
                      <w:szCs w:val="24"/>
                      <w:lang w:val="en-GB"/>
                    </w:rPr>
                    <w:t>Total</w:t>
                  </w:r>
                </w:p>
              </w:tc>
              <w:tc>
                <w:tcPr>
                  <w:tcW w:w="3070" w:type="dxa"/>
                </w:tcPr>
                <w:p w:rsidR="00D8731F" w:rsidRPr="00891151" w:rsidRDefault="00D8731F" w:rsidP="0055464B">
                  <w:pPr>
                    <w:pStyle w:val="NoSpacing1"/>
                    <w:jc w:val="center"/>
                    <w:rPr>
                      <w:rFonts w:ascii="Times New Roman" w:hAnsi="Times New Roman"/>
                      <w:b/>
                      <w:sz w:val="24"/>
                      <w:szCs w:val="24"/>
                      <w:lang w:val="en-GB"/>
                    </w:rPr>
                  </w:pPr>
                  <w:r w:rsidRPr="00891151">
                    <w:rPr>
                      <w:rFonts w:ascii="Times New Roman" w:hAnsi="Times New Roman"/>
                      <w:b/>
                      <w:sz w:val="24"/>
                      <w:szCs w:val="24"/>
                      <w:lang w:val="en-GB"/>
                    </w:rPr>
                    <w:t>1074</w:t>
                  </w:r>
                </w:p>
              </w:tc>
            </w:tr>
          </w:tbl>
          <w:p w:rsidR="00D8731F" w:rsidRPr="00891151" w:rsidRDefault="00D8731F" w:rsidP="0055464B">
            <w:pPr>
              <w:pStyle w:val="NoSpacing1"/>
              <w:jc w:val="both"/>
              <w:rPr>
                <w:rFonts w:ascii="Times New Roman" w:hAnsi="Times New Roman"/>
                <w:sz w:val="24"/>
                <w:szCs w:val="24"/>
                <w:lang w:val="en-GB"/>
              </w:rPr>
            </w:pPr>
          </w:p>
          <w:p w:rsidR="0068619B" w:rsidRPr="00891151" w:rsidRDefault="00D8731F" w:rsidP="0055464B">
            <w:pPr>
              <w:pStyle w:val="NoSpacing1"/>
              <w:jc w:val="both"/>
              <w:rPr>
                <w:rFonts w:ascii="Times New Roman" w:hAnsi="Times New Roman"/>
                <w:sz w:val="24"/>
                <w:szCs w:val="24"/>
                <w:lang w:val="en-GB"/>
              </w:rPr>
            </w:pPr>
            <w:r w:rsidRPr="00891151">
              <w:rPr>
                <w:rFonts w:ascii="Times New Roman" w:hAnsi="Times New Roman"/>
                <w:sz w:val="24"/>
                <w:szCs w:val="24"/>
                <w:lang w:val="en-GB"/>
              </w:rPr>
              <w:t>The company has also started producing of toothpicks using bamboo for local consumption with the aim to utilize bamboo unsuitable to the production of bicycle parts and to diversify its product range.</w:t>
            </w:r>
            <w:r w:rsidR="0068619B" w:rsidRPr="00891151">
              <w:rPr>
                <w:rFonts w:ascii="Times New Roman" w:hAnsi="Times New Roman"/>
                <w:sz w:val="24"/>
                <w:szCs w:val="24"/>
                <w:lang w:val="en-GB"/>
              </w:rPr>
              <w:t xml:space="preserve"> </w:t>
            </w:r>
            <w:r w:rsidR="0068619B" w:rsidRPr="00891151">
              <w:rPr>
                <w:lang w:val="en-GB"/>
              </w:rPr>
              <w:t>The demand for bamboo bikes is growing and that there seems to be good potential in production of bamboo bikes.</w:t>
            </w:r>
          </w:p>
          <w:p w:rsidR="00D8731F" w:rsidRPr="00891151" w:rsidRDefault="00D8731F" w:rsidP="0055464B">
            <w:pPr>
              <w:pStyle w:val="NoSpacing1"/>
              <w:jc w:val="both"/>
              <w:rPr>
                <w:rFonts w:ascii="Times New Roman" w:hAnsi="Times New Roman"/>
                <w:sz w:val="24"/>
                <w:szCs w:val="24"/>
                <w:lang w:val="en-GB"/>
              </w:rPr>
            </w:pP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Why produce this product in Kumasi?</w:t>
            </w:r>
          </w:p>
          <w:p w:rsidR="00D8731F" w:rsidRPr="00891151" w:rsidRDefault="00D8731F" w:rsidP="0055464B">
            <w:pPr>
              <w:spacing w:after="0" w:line="240" w:lineRule="auto"/>
              <w:rPr>
                <w:rFonts w:ascii="Times New Roman" w:hAnsi="Times New Roman"/>
                <w:b/>
                <w:sz w:val="24"/>
                <w:szCs w:val="24"/>
                <w:lang w:val="en-GB"/>
              </w:rPr>
            </w:pPr>
          </w:p>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SUPPORT INSTITUTIONS</w:t>
            </w:r>
          </w:p>
          <w:p w:rsidR="00D8731F" w:rsidRPr="00891151" w:rsidRDefault="00D8731F" w:rsidP="0055464B">
            <w:pPr>
              <w:spacing w:after="0" w:line="240" w:lineRule="auto"/>
              <w:rPr>
                <w:rFonts w:ascii="Times New Roman" w:hAnsi="Times New Roman"/>
                <w:sz w:val="24"/>
                <w:szCs w:val="24"/>
                <w:lang w:val="en-GB"/>
              </w:rPr>
            </w:pPr>
            <w:r w:rsidRPr="00891151">
              <w:rPr>
                <w:rFonts w:ascii="Times New Roman" w:hAnsi="Times New Roman"/>
                <w:sz w:val="24"/>
                <w:szCs w:val="24"/>
                <w:lang w:val="en-GB"/>
              </w:rPr>
              <w:t>Kumasi plays host to numerous research institutions that provide technical support for the cultivation and processing of bamboo. These institutions include</w:t>
            </w:r>
          </w:p>
          <w:p w:rsidR="00D8731F" w:rsidRPr="00891151" w:rsidRDefault="00D8731F" w:rsidP="0055464B">
            <w:pPr>
              <w:spacing w:after="0" w:line="240" w:lineRule="auto"/>
              <w:rPr>
                <w:rFonts w:ascii="Times New Roman" w:hAnsi="Times New Roman"/>
                <w:b/>
                <w:sz w:val="24"/>
                <w:szCs w:val="24"/>
                <w:lang w:val="en-GB"/>
              </w:rPr>
            </w:pPr>
          </w:p>
          <w:p w:rsidR="00D8731F" w:rsidRPr="00891151" w:rsidRDefault="00D8731F" w:rsidP="0055464B">
            <w:pPr>
              <w:numPr>
                <w:ilvl w:val="0"/>
                <w:numId w:val="1"/>
              </w:numPr>
              <w:spacing w:after="0" w:line="240" w:lineRule="auto"/>
              <w:contextualSpacing/>
              <w:rPr>
                <w:rFonts w:ascii="Times New Roman" w:hAnsi="Times New Roman"/>
                <w:sz w:val="24"/>
                <w:szCs w:val="24"/>
                <w:lang w:val="en-GB"/>
              </w:rPr>
            </w:pPr>
            <w:r w:rsidRPr="00891151">
              <w:rPr>
                <w:rFonts w:ascii="Times New Roman" w:hAnsi="Times New Roman"/>
                <w:b/>
                <w:sz w:val="24"/>
                <w:szCs w:val="24"/>
                <w:lang w:val="en-GB"/>
              </w:rPr>
              <w:t>International Network for Bamboo and Rattan (INBAR):</w:t>
            </w:r>
            <w:r w:rsidRPr="00891151">
              <w:rPr>
                <w:rFonts w:ascii="Times New Roman" w:hAnsi="Times New Roman"/>
                <w:sz w:val="24"/>
                <w:szCs w:val="24"/>
                <w:lang w:val="en-GB"/>
              </w:rPr>
              <w:t xml:space="preserve"> INBAR is an independent intergovernmental organization established in 1997 to develop and promote innovative solutions to poverty and environmental sustainability using bamboo and rattan. Its West Africa Centre is in Kumasi.</w:t>
            </w:r>
          </w:p>
          <w:p w:rsidR="00D8731F" w:rsidRPr="00891151" w:rsidRDefault="00D8731F" w:rsidP="0055464B">
            <w:pPr>
              <w:numPr>
                <w:ilvl w:val="0"/>
                <w:numId w:val="1"/>
              </w:numPr>
              <w:spacing w:after="0" w:line="240" w:lineRule="auto"/>
              <w:contextualSpacing/>
              <w:rPr>
                <w:rFonts w:ascii="Times New Roman" w:hAnsi="Times New Roman"/>
                <w:sz w:val="24"/>
                <w:szCs w:val="24"/>
                <w:lang w:val="en-GB"/>
              </w:rPr>
            </w:pPr>
            <w:r w:rsidRPr="00891151">
              <w:rPr>
                <w:rFonts w:ascii="Times New Roman" w:hAnsi="Times New Roman"/>
                <w:b/>
                <w:sz w:val="24"/>
                <w:szCs w:val="24"/>
                <w:lang w:val="en-GB"/>
              </w:rPr>
              <w:t>Forest Research Institute of Ghana (FORIG):</w:t>
            </w:r>
            <w:r w:rsidRPr="00891151">
              <w:rPr>
                <w:rFonts w:ascii="Times New Roman" w:hAnsi="Times New Roman"/>
                <w:sz w:val="24"/>
                <w:szCs w:val="24"/>
                <w:lang w:val="en-GB"/>
              </w:rPr>
              <w:t xml:space="preserve"> Forestry Research Institute of Ghana is one of the 13 institutes of the Council for Scientific and Industrial Research (CSIR). Its purpose is to conduct forest and forest products research for social, economic and environmental benefits of society. It is located in </w:t>
            </w:r>
            <w:proofErr w:type="spellStart"/>
            <w:r w:rsidRPr="00891151">
              <w:rPr>
                <w:rFonts w:ascii="Times New Roman" w:hAnsi="Times New Roman"/>
                <w:sz w:val="24"/>
                <w:szCs w:val="24"/>
                <w:lang w:val="en-GB"/>
              </w:rPr>
              <w:t>Fumesua</w:t>
            </w:r>
            <w:proofErr w:type="spellEnd"/>
            <w:r w:rsidRPr="00891151">
              <w:rPr>
                <w:rFonts w:ascii="Times New Roman" w:hAnsi="Times New Roman"/>
                <w:sz w:val="24"/>
                <w:szCs w:val="24"/>
                <w:lang w:val="en-GB"/>
              </w:rPr>
              <w:t xml:space="preserve"> near Kumasi.</w:t>
            </w:r>
          </w:p>
          <w:p w:rsidR="00D8731F" w:rsidRPr="00891151" w:rsidRDefault="00D8731F" w:rsidP="0055464B">
            <w:pPr>
              <w:numPr>
                <w:ilvl w:val="0"/>
                <w:numId w:val="1"/>
              </w:numPr>
              <w:spacing w:after="0" w:line="240" w:lineRule="auto"/>
              <w:contextualSpacing/>
              <w:rPr>
                <w:rFonts w:ascii="Times New Roman" w:hAnsi="Times New Roman"/>
                <w:b/>
                <w:sz w:val="24"/>
                <w:szCs w:val="24"/>
                <w:lang w:val="en-GB"/>
              </w:rPr>
            </w:pPr>
            <w:proofErr w:type="spellStart"/>
            <w:r w:rsidRPr="00891151">
              <w:rPr>
                <w:rFonts w:ascii="Times New Roman" w:hAnsi="Times New Roman"/>
                <w:b/>
                <w:sz w:val="24"/>
                <w:szCs w:val="24"/>
                <w:lang w:val="en-GB"/>
              </w:rPr>
              <w:t>Kwame</w:t>
            </w:r>
            <w:proofErr w:type="spellEnd"/>
            <w:r w:rsidRPr="00891151">
              <w:rPr>
                <w:rFonts w:ascii="Times New Roman" w:hAnsi="Times New Roman"/>
                <w:b/>
                <w:sz w:val="24"/>
                <w:szCs w:val="24"/>
                <w:lang w:val="en-GB"/>
              </w:rPr>
              <w:t xml:space="preserve"> Nkrumah University of Science and Technology (KNUST): </w:t>
            </w:r>
            <w:r w:rsidRPr="00891151">
              <w:rPr>
                <w:rFonts w:ascii="Times New Roman" w:hAnsi="Times New Roman"/>
                <w:sz w:val="24"/>
                <w:szCs w:val="24"/>
                <w:lang w:val="en-GB"/>
              </w:rPr>
              <w:t xml:space="preserve">The </w:t>
            </w:r>
            <w:proofErr w:type="gramStart"/>
            <w:r w:rsidRPr="00891151">
              <w:rPr>
                <w:rFonts w:ascii="Times New Roman" w:hAnsi="Times New Roman"/>
                <w:sz w:val="24"/>
                <w:szCs w:val="24"/>
                <w:lang w:val="en-GB"/>
              </w:rPr>
              <w:t>University which was founded in 1961</w:t>
            </w:r>
            <w:proofErr w:type="gramEnd"/>
            <w:r w:rsidRPr="00891151">
              <w:rPr>
                <w:rFonts w:ascii="Times New Roman" w:hAnsi="Times New Roman"/>
                <w:sz w:val="24"/>
                <w:szCs w:val="24"/>
                <w:lang w:val="en-GB"/>
              </w:rPr>
              <w:t xml:space="preserve"> has a number of faculties, notably the Faculty of Natural Renewable Natural Resources which provides technical support for the forestry sector.</w:t>
            </w: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AVAILABILITY OF SKILLED/SEMI SKILLED LABOUR</w:t>
            </w:r>
          </w:p>
          <w:p w:rsidR="00D8731F" w:rsidRPr="00891151" w:rsidRDefault="00D8731F" w:rsidP="0055464B">
            <w:pPr>
              <w:spacing w:line="240" w:lineRule="auto"/>
              <w:jc w:val="both"/>
              <w:rPr>
                <w:rFonts w:ascii="Times New Roman" w:hAnsi="Times New Roman"/>
                <w:color w:val="000000"/>
                <w:sz w:val="24"/>
                <w:szCs w:val="24"/>
                <w:shd w:val="clear" w:color="auto" w:fill="FFFFFF"/>
                <w:lang w:val="en-GB"/>
              </w:rPr>
            </w:pPr>
            <w:r w:rsidRPr="00891151">
              <w:rPr>
                <w:rFonts w:ascii="Times New Roman" w:hAnsi="Times New Roman"/>
                <w:color w:val="000000"/>
                <w:sz w:val="24"/>
                <w:szCs w:val="24"/>
                <w:lang w:val="en-GB"/>
              </w:rPr>
              <w:t xml:space="preserve">Kumasi can boast of a </w:t>
            </w:r>
            <w:r w:rsidRPr="00891151">
              <w:rPr>
                <w:rFonts w:ascii="Times New Roman" w:hAnsi="Times New Roman"/>
                <w:color w:val="000000"/>
                <w:sz w:val="24"/>
                <w:szCs w:val="24"/>
                <w:shd w:val="clear" w:color="auto" w:fill="FFFFFF"/>
                <w:lang w:val="en-GB"/>
              </w:rPr>
              <w:t xml:space="preserve">specialized part of the </w:t>
            </w:r>
            <w:proofErr w:type="spellStart"/>
            <w:r w:rsidRPr="00891151">
              <w:rPr>
                <w:rFonts w:ascii="Times New Roman" w:hAnsi="Times New Roman"/>
                <w:color w:val="000000"/>
                <w:sz w:val="24"/>
                <w:szCs w:val="24"/>
                <w:shd w:val="clear" w:color="auto" w:fill="FFFFFF"/>
                <w:lang w:val="en-GB"/>
              </w:rPr>
              <w:t>labor</w:t>
            </w:r>
            <w:proofErr w:type="spellEnd"/>
            <w:r w:rsidRPr="00891151">
              <w:rPr>
                <w:rFonts w:ascii="Times New Roman" w:hAnsi="Times New Roman"/>
                <w:color w:val="000000"/>
                <w:sz w:val="24"/>
                <w:szCs w:val="24"/>
                <w:shd w:val="clear" w:color="auto" w:fill="FFFFFF"/>
                <w:lang w:val="en-GB"/>
              </w:rPr>
              <w:t xml:space="preserve"> force in the region with advanced education. Examples of skilled </w:t>
            </w:r>
            <w:proofErr w:type="spellStart"/>
            <w:r w:rsidRPr="00891151">
              <w:rPr>
                <w:rFonts w:ascii="Times New Roman" w:hAnsi="Times New Roman"/>
                <w:color w:val="000000"/>
                <w:sz w:val="24"/>
                <w:szCs w:val="24"/>
                <w:shd w:val="clear" w:color="auto" w:fill="FFFFFF"/>
                <w:lang w:val="en-GB"/>
              </w:rPr>
              <w:t>labor</w:t>
            </w:r>
            <w:proofErr w:type="spellEnd"/>
            <w:r w:rsidRPr="00891151">
              <w:rPr>
                <w:rFonts w:ascii="Times New Roman" w:hAnsi="Times New Roman"/>
                <w:color w:val="000000"/>
                <w:sz w:val="24"/>
                <w:szCs w:val="24"/>
                <w:shd w:val="clear" w:color="auto" w:fill="FFFFFF"/>
                <w:lang w:val="en-GB"/>
              </w:rPr>
              <w:t xml:space="preserve"> in the region are plumbers, engineers, builders, architects, etc. According to the 2010 Population and Housing Census, out of the 1,894,958 population of 15 years and older by level of education, 61,272 had attended Senior High School; 55,010 vocational/technical school; 71,222 Diploma/HND; 41,493 Bachelor Degree and 10,208 had postgraduate certificate.</w:t>
            </w:r>
          </w:p>
          <w:p w:rsidR="00D8731F" w:rsidRPr="00891151" w:rsidRDefault="00D8731F" w:rsidP="0055464B">
            <w:pPr>
              <w:spacing w:line="240" w:lineRule="auto"/>
              <w:rPr>
                <w:rFonts w:ascii="Times New Roman" w:hAnsi="Times New Roman"/>
                <w:color w:val="000000"/>
                <w:sz w:val="24"/>
                <w:szCs w:val="24"/>
                <w:shd w:val="clear" w:color="auto" w:fill="FFFFFF"/>
                <w:lang w:val="en-GB"/>
              </w:rPr>
            </w:pPr>
            <w:r w:rsidRPr="00891151">
              <w:rPr>
                <w:rFonts w:ascii="Times New Roman" w:hAnsi="Times New Roman"/>
                <w:color w:val="000000"/>
                <w:sz w:val="24"/>
                <w:szCs w:val="24"/>
                <w:shd w:val="clear" w:color="auto" w:fill="FFFFFF"/>
                <w:lang w:val="en-GB"/>
              </w:rPr>
              <w:t xml:space="preserve">Out of the total of 2,976,462 </w:t>
            </w:r>
            <w:proofErr w:type="gramStart"/>
            <w:r w:rsidRPr="00891151">
              <w:rPr>
                <w:rFonts w:ascii="Times New Roman" w:hAnsi="Times New Roman"/>
                <w:color w:val="000000"/>
                <w:sz w:val="24"/>
                <w:szCs w:val="24"/>
                <w:shd w:val="clear" w:color="auto" w:fill="FFFFFF"/>
                <w:lang w:val="en-GB"/>
              </w:rPr>
              <w:t>population</w:t>
            </w:r>
            <w:proofErr w:type="gramEnd"/>
            <w:r w:rsidRPr="00891151">
              <w:rPr>
                <w:rFonts w:ascii="Times New Roman" w:hAnsi="Times New Roman"/>
                <w:color w:val="000000"/>
                <w:sz w:val="24"/>
                <w:szCs w:val="24"/>
                <w:shd w:val="clear" w:color="auto" w:fill="FFFFFF"/>
                <w:lang w:val="en-GB"/>
              </w:rPr>
              <w:t xml:space="preserve"> of 15 years and older by activity in the Ashanti region, 2,073,016 are economically active and out of this figure 1,929,018 are employed. Out of the total of 1,963,012 population of 15years and older by occupation in the region, </w:t>
            </w:r>
            <w:r w:rsidRPr="00891151">
              <w:rPr>
                <w:rFonts w:ascii="Times New Roman" w:hAnsi="Times New Roman"/>
                <w:sz w:val="24"/>
                <w:szCs w:val="24"/>
                <w:lang w:val="en-GB"/>
              </w:rPr>
              <w:t xml:space="preserve">586,436 </w:t>
            </w:r>
            <w:r w:rsidRPr="00891151">
              <w:rPr>
                <w:rFonts w:ascii="Times New Roman" w:hAnsi="Times New Roman"/>
                <w:color w:val="000000"/>
                <w:sz w:val="24"/>
                <w:szCs w:val="24"/>
                <w:shd w:val="clear" w:color="auto" w:fill="FFFFFF"/>
                <w:lang w:val="en-GB"/>
              </w:rPr>
              <w:t>are into agriculture forestry and fishery.</w:t>
            </w:r>
          </w:p>
          <w:p w:rsidR="00D8731F" w:rsidRPr="00891151" w:rsidRDefault="00D8731F" w:rsidP="0055464B">
            <w:pPr>
              <w:spacing w:after="0" w:line="240" w:lineRule="auto"/>
              <w:rPr>
                <w:rFonts w:ascii="Times New Roman" w:hAnsi="Times New Roman"/>
                <w:sz w:val="24"/>
                <w:szCs w:val="24"/>
                <w:lang w:val="en-GB"/>
              </w:rPr>
            </w:pPr>
          </w:p>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LAND A</w:t>
            </w:r>
            <w:r w:rsidR="0068619B" w:rsidRPr="00891151">
              <w:rPr>
                <w:rFonts w:ascii="Times New Roman" w:hAnsi="Times New Roman"/>
                <w:b/>
                <w:sz w:val="24"/>
                <w:szCs w:val="24"/>
                <w:lang w:val="en-GB"/>
              </w:rPr>
              <w:t>N</w:t>
            </w:r>
            <w:r w:rsidRPr="00891151">
              <w:rPr>
                <w:rFonts w:ascii="Times New Roman" w:hAnsi="Times New Roman"/>
                <w:b/>
                <w:sz w:val="24"/>
                <w:szCs w:val="24"/>
                <w:lang w:val="en-GB"/>
              </w:rPr>
              <w:t>D CLIMATE</w:t>
            </w:r>
          </w:p>
          <w:p w:rsidR="00D8731F" w:rsidRPr="00891151" w:rsidRDefault="00D8731F" w:rsidP="0055464B">
            <w:pPr>
              <w:spacing w:line="240" w:lineRule="auto"/>
              <w:jc w:val="both"/>
              <w:rPr>
                <w:rFonts w:ascii="Times New Roman" w:hAnsi="Times New Roman"/>
                <w:sz w:val="24"/>
                <w:szCs w:val="24"/>
                <w:lang w:val="en-GB"/>
              </w:rPr>
            </w:pPr>
            <w:r w:rsidRPr="00891151">
              <w:rPr>
                <w:rFonts w:ascii="Times New Roman" w:hAnsi="Times New Roman"/>
                <w:sz w:val="24"/>
                <w:szCs w:val="24"/>
                <w:lang w:val="en-GB"/>
              </w:rPr>
              <w:t>The Ashanti region covers a total area of 24,389 Sq Km most of which has the ideal soil structure to support the cultivation of bamboo. (Attached as Appendix I and II the soil structure of the Ashanti region).</w:t>
            </w:r>
          </w:p>
          <w:tbl>
            <w:tblPr>
              <w:tblW w:w="9350" w:type="dxa"/>
              <w:tblLook w:val="0400"/>
            </w:tblPr>
            <w:tblGrid>
              <w:gridCol w:w="897"/>
              <w:gridCol w:w="565"/>
              <w:gridCol w:w="565"/>
              <w:gridCol w:w="565"/>
              <w:gridCol w:w="565"/>
              <w:gridCol w:w="564"/>
              <w:gridCol w:w="564"/>
              <w:gridCol w:w="564"/>
              <w:gridCol w:w="564"/>
              <w:gridCol w:w="564"/>
              <w:gridCol w:w="564"/>
              <w:gridCol w:w="655"/>
              <w:gridCol w:w="655"/>
              <w:gridCol w:w="775"/>
              <w:gridCol w:w="724"/>
            </w:tblGrid>
            <w:tr w:rsidR="00D8731F" w:rsidRPr="00891151">
              <w:trPr>
                <w:trHeight w:val="1520"/>
              </w:trPr>
              <w:tc>
                <w:tcPr>
                  <w:tcW w:w="7851" w:type="dxa"/>
                  <w:gridSpan w:val="13"/>
                  <w:tcBorders>
                    <w:top w:val="single" w:sz="4" w:space="0" w:color="auto"/>
                    <w:left w:val="single" w:sz="4" w:space="0" w:color="auto"/>
                    <w:bottom w:val="single" w:sz="4" w:space="0" w:color="auto"/>
                    <w:right w:val="single" w:sz="4" w:space="0" w:color="auto"/>
                  </w:tcBorders>
                  <w:vAlign w:val="bottom"/>
                </w:tcPr>
                <w:p w:rsidR="00D8731F" w:rsidRPr="00891151" w:rsidRDefault="00D8731F" w:rsidP="0055464B">
                  <w:pPr>
                    <w:spacing w:after="0" w:line="240" w:lineRule="auto"/>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ASANTI REGIONAL RAINFALL DATA in mm (2001 - 2010)</w:t>
                  </w:r>
                </w:p>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 </w:t>
                  </w:r>
                </w:p>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 </w:t>
                  </w:r>
                </w:p>
              </w:tc>
              <w:tc>
                <w:tcPr>
                  <w:tcW w:w="775" w:type="dxa"/>
                  <w:vMerge w:val="restart"/>
                  <w:tcBorders>
                    <w:top w:val="single" w:sz="4" w:space="0" w:color="auto"/>
                    <w:left w:val="single" w:sz="4" w:space="0" w:color="auto"/>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 Change 2010/30-Year Average</w:t>
                  </w:r>
                </w:p>
              </w:tc>
              <w:tc>
                <w:tcPr>
                  <w:tcW w:w="724" w:type="dxa"/>
                  <w:vMerge w:val="restart"/>
                  <w:tcBorders>
                    <w:top w:val="single" w:sz="4" w:space="0" w:color="auto"/>
                    <w:left w:val="single" w:sz="4" w:space="0" w:color="auto"/>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 Change 2010/ 2009</w:t>
                  </w:r>
                </w:p>
              </w:tc>
            </w:tr>
            <w:tr w:rsidR="00D8731F" w:rsidRPr="00891151">
              <w:trPr>
                <w:trHeight w:val="300"/>
              </w:trPr>
              <w:tc>
                <w:tcPr>
                  <w:tcW w:w="897" w:type="dxa"/>
                  <w:tcBorders>
                    <w:top w:val="nil"/>
                    <w:left w:val="single" w:sz="4" w:space="0" w:color="auto"/>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REGION</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2001</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2002</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2003</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2004</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2005</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2006</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2007</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2008</w:t>
                  </w:r>
                </w:p>
              </w:tc>
              <w:tc>
                <w:tcPr>
                  <w:tcW w:w="564"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2009</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2010</w:t>
                  </w:r>
                </w:p>
              </w:tc>
              <w:tc>
                <w:tcPr>
                  <w:tcW w:w="65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10-YEAR AV.</w:t>
                  </w:r>
                </w:p>
              </w:tc>
              <w:tc>
                <w:tcPr>
                  <w:tcW w:w="65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b/>
                      <w:bCs/>
                      <w:color w:val="000000"/>
                      <w:sz w:val="24"/>
                      <w:szCs w:val="24"/>
                      <w:lang w:val="en-GB"/>
                    </w:rPr>
                  </w:pPr>
                  <w:r w:rsidRPr="00891151">
                    <w:rPr>
                      <w:rFonts w:ascii="Times New Roman" w:eastAsia="Times New Roman" w:hAnsi="Times New Roman"/>
                      <w:b/>
                      <w:bCs/>
                      <w:color w:val="000000"/>
                      <w:sz w:val="24"/>
                      <w:szCs w:val="24"/>
                      <w:lang w:val="en-GB"/>
                    </w:rPr>
                    <w:t>30-YEAR AV.</w:t>
                  </w:r>
                </w:p>
              </w:tc>
              <w:tc>
                <w:tcPr>
                  <w:tcW w:w="0" w:type="auto"/>
                  <w:vMerge/>
                  <w:tcBorders>
                    <w:top w:val="single" w:sz="4" w:space="0" w:color="auto"/>
                    <w:left w:val="single" w:sz="4" w:space="0" w:color="auto"/>
                    <w:bottom w:val="single" w:sz="4" w:space="0" w:color="auto"/>
                    <w:right w:val="single" w:sz="4" w:space="0" w:color="auto"/>
                  </w:tcBorders>
                  <w:vAlign w:val="center"/>
                </w:tcPr>
                <w:p w:rsidR="00D8731F" w:rsidRPr="00891151" w:rsidRDefault="00D8731F" w:rsidP="0055464B">
                  <w:pPr>
                    <w:spacing w:after="0" w:line="240" w:lineRule="auto"/>
                    <w:rPr>
                      <w:rFonts w:ascii="Times New Roman" w:eastAsia="Times New Roman" w:hAnsi="Times New Roman"/>
                      <w:b/>
                      <w:bCs/>
                      <w:color w:val="000000"/>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8731F" w:rsidRPr="00891151" w:rsidRDefault="00D8731F" w:rsidP="0055464B">
                  <w:pPr>
                    <w:spacing w:after="0" w:line="240" w:lineRule="auto"/>
                    <w:rPr>
                      <w:rFonts w:ascii="Times New Roman" w:eastAsia="Times New Roman" w:hAnsi="Times New Roman"/>
                      <w:b/>
                      <w:bCs/>
                      <w:color w:val="000000"/>
                      <w:sz w:val="24"/>
                      <w:szCs w:val="24"/>
                      <w:lang w:val="en-GB"/>
                    </w:rPr>
                  </w:pPr>
                </w:p>
              </w:tc>
            </w:tr>
            <w:tr w:rsidR="00D8731F" w:rsidRPr="00891151">
              <w:trPr>
                <w:trHeight w:val="300"/>
              </w:trPr>
              <w:tc>
                <w:tcPr>
                  <w:tcW w:w="897" w:type="dxa"/>
                  <w:tcBorders>
                    <w:top w:val="nil"/>
                    <w:left w:val="single" w:sz="4" w:space="0" w:color="auto"/>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ASHANTI</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1,136</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1,637</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1,326</w:t>
                  </w:r>
                </w:p>
              </w:tc>
              <w:tc>
                <w:tcPr>
                  <w:tcW w:w="56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1,098</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1,118</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1,384</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1,542</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1,412</w:t>
                  </w:r>
                </w:p>
              </w:tc>
              <w:tc>
                <w:tcPr>
                  <w:tcW w:w="564"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1,380</w:t>
                  </w:r>
                </w:p>
              </w:tc>
              <w:tc>
                <w:tcPr>
                  <w:tcW w:w="563"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1,380</w:t>
                  </w:r>
                </w:p>
              </w:tc>
              <w:tc>
                <w:tcPr>
                  <w:tcW w:w="65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1,343</w:t>
                  </w:r>
                </w:p>
              </w:tc>
              <w:tc>
                <w:tcPr>
                  <w:tcW w:w="65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1,345</w:t>
                  </w:r>
                </w:p>
              </w:tc>
              <w:tc>
                <w:tcPr>
                  <w:tcW w:w="775"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3.9</w:t>
                  </w:r>
                </w:p>
              </w:tc>
              <w:tc>
                <w:tcPr>
                  <w:tcW w:w="724" w:type="dxa"/>
                  <w:tcBorders>
                    <w:top w:val="nil"/>
                    <w:left w:val="nil"/>
                    <w:bottom w:val="single" w:sz="4" w:space="0" w:color="auto"/>
                    <w:right w:val="single" w:sz="4" w:space="0" w:color="auto"/>
                  </w:tcBorders>
                  <w:vAlign w:val="bottom"/>
                </w:tcPr>
                <w:p w:rsidR="00D8731F" w:rsidRPr="00891151" w:rsidRDefault="00D8731F" w:rsidP="0055464B">
                  <w:pPr>
                    <w:spacing w:after="0" w:line="240" w:lineRule="auto"/>
                    <w:jc w:val="center"/>
                    <w:rPr>
                      <w:rFonts w:ascii="Times New Roman" w:eastAsia="Times New Roman" w:hAnsi="Times New Roman"/>
                      <w:color w:val="000000"/>
                      <w:sz w:val="24"/>
                      <w:szCs w:val="24"/>
                      <w:lang w:val="en-GB"/>
                    </w:rPr>
                  </w:pPr>
                  <w:r w:rsidRPr="00891151">
                    <w:rPr>
                      <w:rFonts w:ascii="Times New Roman" w:eastAsia="Times New Roman" w:hAnsi="Times New Roman"/>
                      <w:color w:val="000000"/>
                      <w:sz w:val="24"/>
                      <w:szCs w:val="24"/>
                      <w:lang w:val="en-GB"/>
                    </w:rPr>
                    <w:t>1.2</w:t>
                  </w:r>
                </w:p>
              </w:tc>
            </w:tr>
          </w:tbl>
          <w:p w:rsidR="00D8731F" w:rsidRPr="00891151" w:rsidRDefault="00D8731F" w:rsidP="0055464B">
            <w:pPr>
              <w:spacing w:line="240" w:lineRule="auto"/>
              <w:jc w:val="both"/>
              <w:rPr>
                <w:rFonts w:ascii="Times New Roman" w:hAnsi="Times New Roman"/>
                <w:sz w:val="24"/>
                <w:szCs w:val="24"/>
                <w:lang w:val="en-GB"/>
              </w:rPr>
            </w:pPr>
            <w:r w:rsidRPr="00891151">
              <w:rPr>
                <w:rFonts w:ascii="Times New Roman" w:hAnsi="Times New Roman"/>
                <w:sz w:val="24"/>
                <w:szCs w:val="24"/>
                <w:lang w:val="en-GB"/>
              </w:rPr>
              <w:t>Source: Ghana Meteorological Service</w:t>
            </w:r>
          </w:p>
          <w:p w:rsidR="00D8731F" w:rsidRPr="00891151" w:rsidRDefault="00D8731F" w:rsidP="0055464B">
            <w:pPr>
              <w:spacing w:line="240" w:lineRule="auto"/>
              <w:jc w:val="both"/>
              <w:rPr>
                <w:rFonts w:ascii="Times New Roman" w:hAnsi="Times New Roman"/>
                <w:sz w:val="24"/>
                <w:szCs w:val="24"/>
                <w:lang w:val="en-GB"/>
              </w:rPr>
            </w:pPr>
            <w:r w:rsidRPr="00891151">
              <w:rPr>
                <w:rFonts w:ascii="Times New Roman" w:hAnsi="Times New Roman"/>
                <w:b/>
                <w:sz w:val="24"/>
                <w:szCs w:val="24"/>
                <w:lang w:val="en-GB"/>
              </w:rPr>
              <w:t>Location Advantage</w:t>
            </w:r>
            <w:r w:rsidRPr="00891151">
              <w:rPr>
                <w:rFonts w:ascii="Times New Roman" w:hAnsi="Times New Roman"/>
                <w:sz w:val="24"/>
                <w:szCs w:val="24"/>
                <w:lang w:val="en-GB"/>
              </w:rPr>
              <w:t xml:space="preserve"> – Kumasi’s strategic location at the Centre of the Ashanti R</w:t>
            </w:r>
            <w:bookmarkStart w:id="0" w:name="_GoBack"/>
            <w:bookmarkEnd w:id="0"/>
            <w:r w:rsidRPr="00891151">
              <w:rPr>
                <w:rFonts w:ascii="Times New Roman" w:hAnsi="Times New Roman"/>
                <w:sz w:val="24"/>
                <w:szCs w:val="24"/>
                <w:lang w:val="en-GB"/>
              </w:rPr>
              <w:t>egion and Ghana, coupled with its good road network and airport facilities makes it the preferred trading centre for most of the surrounding regions. Kumasi is not only an economic hub for wider Ashanti/Northern Ghana but also an important trading hub for landlocked Burkina Faso, Mali and Niger, with an estimated market of over 48 million people.</w:t>
            </w:r>
          </w:p>
          <w:p w:rsidR="00D8731F" w:rsidRPr="00891151" w:rsidRDefault="00D8731F" w:rsidP="0055464B">
            <w:pPr>
              <w:spacing w:line="240" w:lineRule="auto"/>
              <w:jc w:val="both"/>
              <w:rPr>
                <w:rFonts w:ascii="Times New Roman" w:hAnsi="Times New Roman"/>
                <w:sz w:val="24"/>
                <w:szCs w:val="24"/>
                <w:lang w:val="en-GB"/>
              </w:rPr>
            </w:pPr>
            <w:r w:rsidRPr="00891151">
              <w:rPr>
                <w:rFonts w:ascii="Times New Roman" w:hAnsi="Times New Roman"/>
                <w:b/>
                <w:sz w:val="24"/>
                <w:szCs w:val="24"/>
                <w:lang w:val="en-GB"/>
              </w:rPr>
              <w:t>Clearly Defined Traditional Authority</w:t>
            </w:r>
            <w:r w:rsidRPr="00891151">
              <w:rPr>
                <w:rFonts w:ascii="Times New Roman" w:hAnsi="Times New Roman"/>
                <w:sz w:val="24"/>
                <w:szCs w:val="24"/>
                <w:lang w:val="en-GB"/>
              </w:rPr>
              <w:t xml:space="preserve"> – the city and region has clearly defined traditional </w:t>
            </w:r>
            <w:proofErr w:type="gramStart"/>
            <w:r w:rsidRPr="00891151">
              <w:rPr>
                <w:rFonts w:ascii="Times New Roman" w:hAnsi="Times New Roman"/>
                <w:sz w:val="24"/>
                <w:szCs w:val="24"/>
                <w:lang w:val="en-GB"/>
              </w:rPr>
              <w:t>authorities which</w:t>
            </w:r>
            <w:proofErr w:type="gramEnd"/>
            <w:r w:rsidRPr="00891151">
              <w:rPr>
                <w:rFonts w:ascii="Times New Roman" w:hAnsi="Times New Roman"/>
                <w:sz w:val="24"/>
                <w:szCs w:val="24"/>
                <w:lang w:val="en-GB"/>
              </w:rPr>
              <w:t xml:space="preserve"> foster peace, unity and stability. The traditional authorities are the custodians of most land, thus making the process of land acquisition relatively simpler.</w:t>
            </w: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Potential locations in Ashanti Region</w:t>
            </w:r>
          </w:p>
          <w:p w:rsidR="00D8731F" w:rsidRPr="00891151" w:rsidRDefault="00D8731F" w:rsidP="0055464B">
            <w:pPr>
              <w:spacing w:after="0" w:line="240" w:lineRule="auto"/>
              <w:rPr>
                <w:rFonts w:ascii="Times New Roman" w:hAnsi="Times New Roman"/>
                <w:b/>
                <w:sz w:val="24"/>
                <w:szCs w:val="24"/>
                <w:lang w:val="en-GB"/>
              </w:rPr>
            </w:pPr>
          </w:p>
          <w:p w:rsidR="00D8731F" w:rsidRPr="00891151" w:rsidRDefault="00D8731F" w:rsidP="0055464B">
            <w:pPr>
              <w:spacing w:after="0" w:line="240" w:lineRule="auto"/>
              <w:rPr>
                <w:rFonts w:ascii="Times New Roman" w:hAnsi="Times New Roman"/>
                <w:color w:val="000000"/>
                <w:sz w:val="24"/>
                <w:szCs w:val="24"/>
                <w:lang w:val="en-GB"/>
              </w:rPr>
            </w:pPr>
            <w:r w:rsidRPr="00891151">
              <w:rPr>
                <w:rFonts w:ascii="Times New Roman" w:hAnsi="Times New Roman"/>
                <w:color w:val="000000"/>
                <w:sz w:val="24"/>
                <w:szCs w:val="24"/>
                <w:lang w:val="en-GB"/>
              </w:rPr>
              <w:t xml:space="preserve">Areas suitable for bamboo cultivation include: </w:t>
            </w:r>
            <w:proofErr w:type="spellStart"/>
            <w:r w:rsidRPr="00891151">
              <w:rPr>
                <w:rFonts w:ascii="Times New Roman" w:hAnsi="Times New Roman"/>
                <w:color w:val="000000"/>
                <w:sz w:val="24"/>
                <w:szCs w:val="24"/>
                <w:lang w:val="en-GB"/>
              </w:rPr>
              <w:t>Amansie</w:t>
            </w:r>
            <w:proofErr w:type="spellEnd"/>
            <w:r w:rsidRPr="00891151">
              <w:rPr>
                <w:rFonts w:ascii="Times New Roman" w:hAnsi="Times New Roman"/>
                <w:color w:val="000000"/>
                <w:sz w:val="24"/>
                <w:szCs w:val="24"/>
                <w:lang w:val="en-GB"/>
              </w:rPr>
              <w:t xml:space="preserve"> West District, </w:t>
            </w:r>
            <w:proofErr w:type="spellStart"/>
            <w:r w:rsidRPr="00891151">
              <w:rPr>
                <w:rFonts w:ascii="Times New Roman" w:hAnsi="Times New Roman"/>
                <w:color w:val="000000"/>
                <w:sz w:val="24"/>
                <w:szCs w:val="24"/>
                <w:lang w:val="en-GB"/>
              </w:rPr>
              <w:t>Amansie</w:t>
            </w:r>
            <w:proofErr w:type="spellEnd"/>
            <w:r w:rsidRPr="00891151">
              <w:rPr>
                <w:rFonts w:ascii="Times New Roman" w:hAnsi="Times New Roman"/>
                <w:color w:val="000000"/>
                <w:sz w:val="24"/>
                <w:szCs w:val="24"/>
                <w:lang w:val="en-GB"/>
              </w:rPr>
              <w:t xml:space="preserve"> East District, </w:t>
            </w:r>
            <w:proofErr w:type="spellStart"/>
            <w:r w:rsidRPr="00891151">
              <w:rPr>
                <w:rFonts w:ascii="Times New Roman" w:hAnsi="Times New Roman"/>
                <w:color w:val="000000"/>
                <w:sz w:val="24"/>
                <w:szCs w:val="24"/>
                <w:lang w:val="en-GB"/>
              </w:rPr>
              <w:t>Nkwawie</w:t>
            </w:r>
            <w:proofErr w:type="spellEnd"/>
            <w:r w:rsidRPr="00891151">
              <w:rPr>
                <w:rFonts w:ascii="Times New Roman" w:hAnsi="Times New Roman"/>
                <w:color w:val="000000"/>
                <w:sz w:val="24"/>
                <w:szCs w:val="24"/>
                <w:lang w:val="en-GB"/>
              </w:rPr>
              <w:t xml:space="preserve"> District, </w:t>
            </w:r>
            <w:proofErr w:type="spellStart"/>
            <w:proofErr w:type="gramStart"/>
            <w:r w:rsidRPr="00891151">
              <w:rPr>
                <w:rFonts w:ascii="Times New Roman" w:hAnsi="Times New Roman"/>
                <w:color w:val="000000"/>
                <w:sz w:val="24"/>
                <w:szCs w:val="24"/>
                <w:lang w:val="en-GB"/>
              </w:rPr>
              <w:t>Ejisu</w:t>
            </w:r>
            <w:proofErr w:type="spellEnd"/>
            <w:proofErr w:type="gramEnd"/>
            <w:r w:rsidRPr="00891151">
              <w:rPr>
                <w:rFonts w:ascii="Times New Roman" w:hAnsi="Times New Roman"/>
                <w:color w:val="000000"/>
                <w:sz w:val="24"/>
                <w:szCs w:val="24"/>
                <w:lang w:val="en-GB"/>
              </w:rPr>
              <w:t xml:space="preserve"> District. The Ghana Investment Promotion Centre (GIPC), Lands Commission and the Association Of Ghana industries (AGI) are </w:t>
            </w:r>
            <w:proofErr w:type="gramStart"/>
            <w:r w:rsidRPr="00891151">
              <w:rPr>
                <w:rFonts w:ascii="Times New Roman" w:hAnsi="Times New Roman"/>
                <w:color w:val="000000"/>
                <w:sz w:val="24"/>
                <w:szCs w:val="24"/>
                <w:lang w:val="en-GB"/>
              </w:rPr>
              <w:t>institutions which</w:t>
            </w:r>
            <w:proofErr w:type="gramEnd"/>
            <w:r w:rsidRPr="00891151">
              <w:rPr>
                <w:rFonts w:ascii="Times New Roman" w:hAnsi="Times New Roman"/>
                <w:color w:val="000000"/>
                <w:sz w:val="24"/>
                <w:szCs w:val="24"/>
                <w:lang w:val="en-GB"/>
              </w:rPr>
              <w:t xml:space="preserve"> can assist investors in the identification of lands and support services. </w:t>
            </w:r>
          </w:p>
          <w:p w:rsidR="00D8731F" w:rsidRPr="00891151" w:rsidRDefault="00D8731F" w:rsidP="0055464B">
            <w:pPr>
              <w:spacing w:after="0" w:line="240" w:lineRule="auto"/>
              <w:rPr>
                <w:rFonts w:ascii="Times New Roman" w:hAnsi="Times New Roman"/>
                <w:color w:val="000000"/>
                <w:sz w:val="24"/>
                <w:szCs w:val="24"/>
                <w:lang w:val="en-GB"/>
              </w:rPr>
            </w:pPr>
          </w:p>
          <w:p w:rsidR="00D8731F" w:rsidRPr="00891151" w:rsidRDefault="00D8731F" w:rsidP="0055464B">
            <w:pPr>
              <w:spacing w:after="0" w:line="240" w:lineRule="auto"/>
              <w:rPr>
                <w:rFonts w:ascii="Times New Roman" w:hAnsi="Times New Roman"/>
                <w:color w:val="000000"/>
                <w:sz w:val="24"/>
                <w:szCs w:val="24"/>
                <w:lang w:val="en-GB"/>
              </w:rPr>
            </w:pPr>
            <w:r w:rsidRPr="00891151">
              <w:rPr>
                <w:rFonts w:ascii="Times New Roman" w:hAnsi="Times New Roman"/>
                <w:sz w:val="24"/>
                <w:szCs w:val="24"/>
                <w:lang w:val="en-GB"/>
              </w:rPr>
              <w:t xml:space="preserve">The Millennium Villages Project in </w:t>
            </w:r>
            <w:proofErr w:type="spellStart"/>
            <w:r w:rsidRPr="00891151">
              <w:rPr>
                <w:rFonts w:ascii="Times New Roman" w:hAnsi="Times New Roman"/>
                <w:sz w:val="24"/>
                <w:szCs w:val="24"/>
                <w:lang w:val="en-GB"/>
              </w:rPr>
              <w:t>Bonsaaso</w:t>
            </w:r>
            <w:proofErr w:type="spellEnd"/>
            <w:r w:rsidRPr="00891151">
              <w:rPr>
                <w:rFonts w:ascii="Times New Roman" w:hAnsi="Times New Roman"/>
                <w:sz w:val="24"/>
                <w:szCs w:val="24"/>
                <w:lang w:val="en-GB"/>
              </w:rPr>
              <w:t xml:space="preserve"> is working with communities to identify and restore lands that have been degraded through illegal mining using bamboo. The MVP can provide an investor with details of such land for bamboo cultivation. </w:t>
            </w: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Support provided by Kumasi Municipality and Kumasi Regional Administration</w:t>
            </w:r>
          </w:p>
          <w:p w:rsidR="00D8731F" w:rsidRPr="00891151" w:rsidRDefault="00D8731F" w:rsidP="0055464B">
            <w:pPr>
              <w:spacing w:after="0" w:line="240" w:lineRule="auto"/>
              <w:rPr>
                <w:rFonts w:ascii="Times New Roman" w:hAnsi="Times New Roman"/>
                <w:b/>
                <w:sz w:val="24"/>
                <w:szCs w:val="24"/>
                <w:lang w:val="en-GB"/>
              </w:rPr>
            </w:pPr>
          </w:p>
          <w:p w:rsidR="00D8731F" w:rsidRPr="00891151" w:rsidRDefault="00D8731F" w:rsidP="0055464B">
            <w:pPr>
              <w:spacing w:after="0" w:line="240" w:lineRule="auto"/>
              <w:rPr>
                <w:rFonts w:ascii="Times New Roman" w:hAnsi="Times New Roman"/>
                <w:sz w:val="24"/>
                <w:szCs w:val="24"/>
                <w:lang w:val="en-GB"/>
              </w:rPr>
            </w:pPr>
            <w:r w:rsidRPr="00891151">
              <w:rPr>
                <w:rFonts w:ascii="Times New Roman" w:hAnsi="Times New Roman"/>
                <w:sz w:val="24"/>
                <w:szCs w:val="24"/>
                <w:lang w:val="en-GB"/>
              </w:rPr>
              <w:t>The Kumasi City Investment Promotion Unit will assist potential investors in the acquisition of land for the cultivation of bamboo through site visits, due diligence of land title and other permits.</w:t>
            </w: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Investment incentives</w:t>
            </w:r>
          </w:p>
          <w:p w:rsidR="00D8731F" w:rsidRPr="00891151" w:rsidRDefault="00D8731F" w:rsidP="0055464B">
            <w:pPr>
              <w:spacing w:after="0" w:line="240" w:lineRule="auto"/>
              <w:rPr>
                <w:rFonts w:ascii="Times New Roman" w:hAnsi="Times New Roman"/>
                <w:b/>
                <w:sz w:val="24"/>
                <w:szCs w:val="24"/>
                <w:lang w:val="en-GB"/>
              </w:rPr>
            </w:pPr>
          </w:p>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 xml:space="preserve">FUNDING FOR PLANTATION DEVELOPMENT </w:t>
            </w:r>
          </w:p>
          <w:p w:rsidR="00D8731F" w:rsidRPr="00891151" w:rsidRDefault="00D8731F" w:rsidP="0055464B">
            <w:pPr>
              <w:pStyle w:val="NormalWeb"/>
              <w:rPr>
                <w:lang w:val="en-GB"/>
              </w:rPr>
            </w:pPr>
            <w:r w:rsidRPr="00891151">
              <w:rPr>
                <w:lang w:val="en-GB"/>
              </w:rPr>
              <w:t>The Ministry of Lands and Natural resources together with the Forestry Commission administer a fund that is geared at providing financial support to individuals and firms that seek to go into the cultivation of forest plantations. The Forest Plantations Development Fund Act, (Act 583) was passed in 2002. This act established the Forest Plantation Development Fund (FPDF). The Fund was established with the objective of providing financial assistance for the reforestation of degraded forest areas in the country.</w:t>
            </w:r>
          </w:p>
          <w:p w:rsidR="00D8731F" w:rsidRPr="00891151" w:rsidRDefault="00D8731F" w:rsidP="0055464B">
            <w:pPr>
              <w:spacing w:after="0" w:line="240" w:lineRule="auto"/>
              <w:rPr>
                <w:rFonts w:ascii="Times New Roman" w:hAnsi="Times New Roman"/>
                <w:color w:val="000000"/>
                <w:sz w:val="24"/>
                <w:szCs w:val="24"/>
                <w:lang w:val="en-GB"/>
              </w:rPr>
            </w:pPr>
            <w:r w:rsidRPr="00891151">
              <w:rPr>
                <w:rFonts w:ascii="Times New Roman" w:hAnsi="Times New Roman"/>
                <w:color w:val="000000"/>
                <w:sz w:val="24"/>
                <w:szCs w:val="24"/>
                <w:lang w:val="en-GB"/>
              </w:rPr>
              <w:t xml:space="preserve">For Bamboo processors Kumasi hosts several local, regional and international finance institutions some of which include Cal Bank, UT Bank, HFC Bank, </w:t>
            </w:r>
            <w:proofErr w:type="spellStart"/>
            <w:r w:rsidRPr="00891151">
              <w:rPr>
                <w:rFonts w:ascii="Times New Roman" w:hAnsi="Times New Roman"/>
                <w:color w:val="000000"/>
                <w:sz w:val="24"/>
                <w:szCs w:val="24"/>
                <w:lang w:val="en-GB"/>
              </w:rPr>
              <w:t>Exim</w:t>
            </w:r>
            <w:proofErr w:type="spellEnd"/>
            <w:r w:rsidRPr="00891151">
              <w:rPr>
                <w:rFonts w:ascii="Times New Roman" w:hAnsi="Times New Roman"/>
                <w:color w:val="000000"/>
                <w:sz w:val="24"/>
                <w:szCs w:val="24"/>
                <w:lang w:val="en-GB"/>
              </w:rPr>
              <w:t xml:space="preserve"> Guaranty Bank, </w:t>
            </w:r>
            <w:proofErr w:type="spellStart"/>
            <w:r w:rsidRPr="00891151">
              <w:rPr>
                <w:rFonts w:ascii="Times New Roman" w:hAnsi="Times New Roman"/>
                <w:color w:val="000000"/>
                <w:sz w:val="24"/>
                <w:szCs w:val="24"/>
                <w:lang w:val="en-GB"/>
              </w:rPr>
              <w:t>Ecobank</w:t>
            </w:r>
            <w:proofErr w:type="spellEnd"/>
            <w:r w:rsidRPr="00891151">
              <w:rPr>
                <w:rFonts w:ascii="Times New Roman" w:hAnsi="Times New Roman"/>
                <w:color w:val="000000"/>
                <w:sz w:val="24"/>
                <w:szCs w:val="24"/>
                <w:lang w:val="en-GB"/>
              </w:rPr>
              <w:t xml:space="preserve">, United Bank for Africa, Barclays Bank, Standard Chartered Bank and </w:t>
            </w:r>
            <w:proofErr w:type="spellStart"/>
            <w:r w:rsidRPr="00891151">
              <w:rPr>
                <w:rFonts w:ascii="Times New Roman" w:hAnsi="Times New Roman"/>
                <w:color w:val="000000"/>
                <w:sz w:val="24"/>
                <w:szCs w:val="24"/>
                <w:lang w:val="en-GB"/>
              </w:rPr>
              <w:t>Stanbic</w:t>
            </w:r>
            <w:proofErr w:type="spellEnd"/>
            <w:r w:rsidRPr="00891151">
              <w:rPr>
                <w:rFonts w:ascii="Times New Roman" w:hAnsi="Times New Roman"/>
                <w:color w:val="000000"/>
                <w:sz w:val="24"/>
                <w:szCs w:val="24"/>
                <w:lang w:val="en-GB"/>
              </w:rPr>
              <w:t xml:space="preserve"> Bank (member of the Standard Bank group), which offer financial support to investors.</w:t>
            </w:r>
          </w:p>
          <w:p w:rsidR="00D8731F" w:rsidRPr="00891151" w:rsidRDefault="00D8731F" w:rsidP="0055464B">
            <w:pPr>
              <w:spacing w:after="0" w:line="240" w:lineRule="auto"/>
              <w:rPr>
                <w:rFonts w:ascii="Times New Roman" w:hAnsi="Times New Roman"/>
                <w:sz w:val="24"/>
                <w:szCs w:val="24"/>
                <w:lang w:val="en-GB"/>
              </w:rPr>
            </w:pP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891151" w:rsidP="0055464B">
            <w:pPr>
              <w:spacing w:after="0" w:line="240" w:lineRule="auto"/>
              <w:rPr>
                <w:rFonts w:ascii="Times New Roman" w:hAnsi="Times New Roman"/>
                <w:b/>
                <w:sz w:val="24"/>
                <w:szCs w:val="24"/>
                <w:lang w:val="en-GB"/>
              </w:rPr>
            </w:pPr>
            <w:r>
              <w:rPr>
                <w:rFonts w:ascii="Times New Roman" w:hAnsi="Times New Roman"/>
                <w:b/>
                <w:sz w:val="24"/>
                <w:szCs w:val="24"/>
                <w:lang w:val="en-GB"/>
              </w:rPr>
              <w:t>Additional</w:t>
            </w:r>
            <w:r w:rsidR="00D8731F" w:rsidRPr="00891151">
              <w:rPr>
                <w:rFonts w:ascii="Times New Roman" w:hAnsi="Times New Roman"/>
                <w:b/>
                <w:sz w:val="24"/>
                <w:szCs w:val="24"/>
                <w:lang w:val="en-GB"/>
              </w:rPr>
              <w:t xml:space="preserve"> </w:t>
            </w:r>
            <w:r>
              <w:rPr>
                <w:rFonts w:ascii="Times New Roman" w:hAnsi="Times New Roman"/>
                <w:b/>
                <w:sz w:val="24"/>
                <w:szCs w:val="24"/>
                <w:lang w:val="en-GB"/>
              </w:rPr>
              <w:t>information</w:t>
            </w:r>
          </w:p>
          <w:p w:rsidR="00D8731F" w:rsidRPr="00891151" w:rsidRDefault="00FE744A" w:rsidP="00FE744A">
            <w:pPr>
              <w:spacing w:after="0" w:line="240" w:lineRule="auto"/>
              <w:rPr>
                <w:rFonts w:ascii="Times New Roman" w:hAnsi="Times New Roman"/>
                <w:sz w:val="24"/>
                <w:szCs w:val="24"/>
                <w:lang w:val="en-GB"/>
              </w:rPr>
            </w:pPr>
            <w:r w:rsidRPr="00891151">
              <w:rPr>
                <w:rFonts w:ascii="Times New Roman" w:hAnsi="Times New Roman"/>
                <w:sz w:val="24"/>
                <w:szCs w:val="24"/>
                <w:lang w:val="en-GB"/>
              </w:rPr>
              <w:t>International Network for Bamboo and Rattan: Market Potential of Bamboo and Rattan Products, 2011</w:t>
            </w:r>
          </w:p>
          <w:p w:rsidR="00FE744A" w:rsidRPr="00891151" w:rsidRDefault="00FE744A" w:rsidP="00FE744A">
            <w:pPr>
              <w:spacing w:after="0" w:line="240" w:lineRule="auto"/>
              <w:rPr>
                <w:rFonts w:ascii="Times New Roman" w:hAnsi="Times New Roman"/>
                <w:sz w:val="24"/>
                <w:szCs w:val="24"/>
                <w:lang w:val="en-GB"/>
              </w:rPr>
            </w:pPr>
            <w:r w:rsidRPr="00891151">
              <w:rPr>
                <w:rFonts w:ascii="Times New Roman" w:hAnsi="Times New Roman"/>
                <w:sz w:val="24"/>
                <w:szCs w:val="24"/>
                <w:lang w:val="en-GB"/>
              </w:rPr>
              <w:t>Forestry Commission, Ghana: Report on Export of Wood Products (Timber Industry Development Division), 2000, 2005 and 2010</w:t>
            </w:r>
          </w:p>
        </w:tc>
      </w:tr>
      <w:tr w:rsidR="00D8731F" w:rsidRPr="00891151">
        <w:tc>
          <w:tcPr>
            <w:tcW w:w="9576" w:type="dxa"/>
            <w:tcBorders>
              <w:top w:val="single" w:sz="4" w:space="0" w:color="auto"/>
              <w:left w:val="single" w:sz="4" w:space="0" w:color="auto"/>
              <w:bottom w:val="single" w:sz="4" w:space="0" w:color="auto"/>
              <w:right w:val="single" w:sz="4" w:space="0" w:color="auto"/>
            </w:tcBorders>
          </w:tcPr>
          <w:p w:rsidR="00D8731F" w:rsidRPr="00891151" w:rsidRDefault="00D8731F" w:rsidP="0055464B">
            <w:pPr>
              <w:spacing w:after="0" w:line="240" w:lineRule="auto"/>
              <w:rPr>
                <w:rFonts w:ascii="Times New Roman" w:hAnsi="Times New Roman"/>
                <w:b/>
                <w:sz w:val="24"/>
                <w:szCs w:val="24"/>
                <w:lang w:val="en-GB"/>
              </w:rPr>
            </w:pPr>
            <w:r w:rsidRPr="00891151">
              <w:rPr>
                <w:rFonts w:ascii="Times New Roman" w:hAnsi="Times New Roman"/>
                <w:b/>
                <w:sz w:val="24"/>
                <w:szCs w:val="24"/>
                <w:lang w:val="en-GB"/>
              </w:rPr>
              <w:t>Last updated</w:t>
            </w:r>
            <w:r w:rsidR="00891151">
              <w:rPr>
                <w:rFonts w:ascii="Times New Roman" w:hAnsi="Times New Roman"/>
                <w:b/>
                <w:sz w:val="24"/>
                <w:szCs w:val="24"/>
                <w:lang w:val="en-GB"/>
              </w:rPr>
              <w:t xml:space="preserve">: </w:t>
            </w:r>
            <w:r w:rsidRPr="00891151">
              <w:rPr>
                <w:rFonts w:ascii="Times New Roman" w:hAnsi="Times New Roman"/>
                <w:b/>
                <w:sz w:val="24"/>
                <w:szCs w:val="24"/>
                <w:lang w:val="en-GB"/>
              </w:rPr>
              <w:t>25 NOVEMBER, 2012</w:t>
            </w:r>
          </w:p>
          <w:p w:rsidR="00D8731F" w:rsidRPr="00891151" w:rsidRDefault="00D8731F" w:rsidP="0055464B">
            <w:pPr>
              <w:spacing w:after="0" w:line="240" w:lineRule="auto"/>
              <w:rPr>
                <w:rFonts w:ascii="Times New Roman" w:hAnsi="Times New Roman"/>
                <w:sz w:val="24"/>
                <w:szCs w:val="24"/>
                <w:lang w:val="en-GB"/>
              </w:rPr>
            </w:pPr>
          </w:p>
        </w:tc>
      </w:tr>
    </w:tbl>
    <w:p w:rsidR="00D8731F" w:rsidRPr="00891151" w:rsidRDefault="00D8731F" w:rsidP="00D8731F">
      <w:pPr>
        <w:spacing w:line="240" w:lineRule="auto"/>
        <w:rPr>
          <w:rFonts w:ascii="Times New Roman" w:hAnsi="Times New Roman"/>
          <w:sz w:val="24"/>
          <w:szCs w:val="24"/>
          <w:lang w:val="en-GB"/>
        </w:rPr>
      </w:pPr>
    </w:p>
    <w:p w:rsidR="00587F65" w:rsidRPr="00806099" w:rsidRDefault="00587F65" w:rsidP="00012F8A">
      <w:pPr>
        <w:spacing w:after="0"/>
        <w:jc w:val="center"/>
        <w:rPr>
          <w:rFonts w:ascii="Times New Roman" w:hAnsi="Times New Roman"/>
          <w:b/>
          <w:color w:val="000000"/>
          <w:sz w:val="24"/>
          <w:szCs w:val="24"/>
        </w:rPr>
      </w:pPr>
      <w:r>
        <w:rPr>
          <w:lang w:val="en-GB"/>
        </w:rPr>
        <w:br w:type="page"/>
      </w:r>
      <w:r>
        <w:rPr>
          <w:rFonts w:ascii="Times New Roman" w:hAnsi="Times New Roman"/>
          <w:b/>
          <w:color w:val="000000"/>
          <w:sz w:val="24"/>
          <w:szCs w:val="24"/>
        </w:rPr>
        <w:t>Investment O</w:t>
      </w:r>
      <w:r w:rsidRPr="00806099">
        <w:rPr>
          <w:rFonts w:ascii="Times New Roman" w:hAnsi="Times New Roman"/>
          <w:b/>
          <w:color w:val="000000"/>
          <w:sz w:val="24"/>
          <w:szCs w:val="24"/>
        </w:rPr>
        <w:t>pportunity in Kumasi, Ghana</w:t>
      </w:r>
    </w:p>
    <w:p w:rsidR="00587F65" w:rsidRPr="00806099" w:rsidRDefault="00587F65" w:rsidP="00012F8A">
      <w:pPr>
        <w:spacing w:after="0"/>
        <w:jc w:val="center"/>
        <w:rPr>
          <w:rFonts w:ascii="Times New Roman" w:hAnsi="Times New Roman"/>
          <w:b/>
          <w:color w:val="000000"/>
          <w:sz w:val="24"/>
          <w:szCs w:val="24"/>
        </w:rPr>
      </w:pPr>
      <w:r w:rsidRPr="00806099">
        <w:rPr>
          <w:rFonts w:ascii="Times New Roman" w:hAnsi="Times New Roman"/>
          <w:b/>
          <w:color w:val="000000"/>
          <w:sz w:val="24"/>
          <w:szCs w:val="24"/>
        </w:rPr>
        <w:t>Real Estate Development (Affordable Housing)</w:t>
      </w:r>
    </w:p>
    <w:p w:rsidR="00587F65" w:rsidRPr="00806099" w:rsidRDefault="00587F65" w:rsidP="00012F8A">
      <w:pPr>
        <w:spacing w:after="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587F65" w:rsidRPr="00806099">
        <w:trPr>
          <w:trHeight w:val="11816"/>
        </w:trPr>
        <w:tc>
          <w:tcPr>
            <w:tcW w:w="9212" w:type="dxa"/>
            <w:tcBorders>
              <w:top w:val="single" w:sz="4" w:space="0" w:color="auto"/>
              <w:left w:val="single" w:sz="4" w:space="0" w:color="auto"/>
              <w:bottom w:val="single" w:sz="4" w:space="0" w:color="auto"/>
              <w:right w:val="single" w:sz="4" w:space="0" w:color="auto"/>
            </w:tcBorders>
          </w:tcPr>
          <w:p w:rsidR="00587F65" w:rsidRPr="00806099"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Executive Summary</w:t>
            </w:r>
          </w:p>
          <w:p w:rsidR="00587F65" w:rsidRDefault="00587F65" w:rsidP="0055464B">
            <w:pPr>
              <w:spacing w:after="0" w:line="240" w:lineRule="auto"/>
              <w:jc w:val="both"/>
              <w:rPr>
                <w:rFonts w:ascii="Times New Roman" w:hAnsi="Times New Roman"/>
                <w:sz w:val="24"/>
                <w:szCs w:val="24"/>
              </w:rPr>
            </w:pPr>
          </w:p>
          <w:p w:rsidR="00587F65" w:rsidRPr="00806099" w:rsidRDefault="00587F65" w:rsidP="0055464B">
            <w:pPr>
              <w:spacing w:after="0" w:line="240" w:lineRule="auto"/>
              <w:jc w:val="both"/>
              <w:rPr>
                <w:rFonts w:ascii="Times New Roman" w:hAnsi="Times New Roman"/>
                <w:sz w:val="24"/>
                <w:szCs w:val="24"/>
              </w:rPr>
            </w:pPr>
            <w:r w:rsidRPr="00806099">
              <w:rPr>
                <w:rFonts w:ascii="Times New Roman" w:hAnsi="Times New Roman"/>
                <w:sz w:val="24"/>
                <w:szCs w:val="24"/>
              </w:rPr>
              <w:t>Thanks to the flourishing and stable national economy, Ghana’s real estate sector offers sound opportunities. The growing middle class, business people, foreign expatriates and Ghanaian expatriates investing at home are driving demand for mid-priced properties.</w:t>
            </w:r>
          </w:p>
          <w:p w:rsidR="00587F65" w:rsidRDefault="00587F65" w:rsidP="0055464B">
            <w:pPr>
              <w:spacing w:line="240" w:lineRule="auto"/>
              <w:jc w:val="both"/>
              <w:rPr>
                <w:rFonts w:ascii="Times New Roman" w:hAnsi="Times New Roman"/>
                <w:sz w:val="24"/>
                <w:szCs w:val="24"/>
              </w:rPr>
            </w:pPr>
          </w:p>
          <w:p w:rsidR="00587F65" w:rsidRPr="00806099" w:rsidRDefault="00587F65" w:rsidP="0055464B">
            <w:pPr>
              <w:spacing w:line="240" w:lineRule="auto"/>
              <w:jc w:val="both"/>
              <w:rPr>
                <w:rFonts w:ascii="Times New Roman" w:hAnsi="Times New Roman"/>
                <w:sz w:val="24"/>
                <w:szCs w:val="24"/>
              </w:rPr>
            </w:pPr>
            <w:r w:rsidRPr="00806099">
              <w:rPr>
                <w:rFonts w:ascii="Times New Roman" w:hAnsi="Times New Roman"/>
                <w:sz w:val="24"/>
                <w:szCs w:val="24"/>
              </w:rPr>
              <w:t>There is also a severe shortage of low-</w:t>
            </w:r>
            <w:r w:rsidR="00AD55BE">
              <w:rPr>
                <w:rFonts w:ascii="Times New Roman" w:hAnsi="Times New Roman"/>
                <w:sz w:val="24"/>
                <w:szCs w:val="24"/>
              </w:rPr>
              <w:t xml:space="preserve"> </w:t>
            </w:r>
            <w:r w:rsidRPr="00806099">
              <w:rPr>
                <w:rFonts w:ascii="Times New Roman" w:hAnsi="Times New Roman"/>
                <w:sz w:val="24"/>
                <w:szCs w:val="24"/>
              </w:rPr>
              <w:t xml:space="preserve">to </w:t>
            </w:r>
            <w:proofErr w:type="gramStart"/>
            <w:r w:rsidRPr="00806099">
              <w:rPr>
                <w:rFonts w:ascii="Times New Roman" w:hAnsi="Times New Roman"/>
                <w:sz w:val="24"/>
                <w:szCs w:val="24"/>
              </w:rPr>
              <w:t>low-middle-income</w:t>
            </w:r>
            <w:proofErr w:type="gramEnd"/>
            <w:r w:rsidRPr="00806099">
              <w:rPr>
                <w:rFonts w:ascii="Times New Roman" w:hAnsi="Times New Roman"/>
                <w:sz w:val="24"/>
                <w:szCs w:val="24"/>
              </w:rPr>
              <w:t xml:space="preserve"> housing, which accounts for most of Ghana’s estimated shortfall of one million residential units. To address this deficit and accommodate new households, there is </w:t>
            </w:r>
            <w:r>
              <w:rPr>
                <w:rFonts w:ascii="Times New Roman" w:hAnsi="Times New Roman"/>
                <w:sz w:val="24"/>
                <w:szCs w:val="24"/>
              </w:rPr>
              <w:t xml:space="preserve">the </w:t>
            </w:r>
            <w:r w:rsidRPr="00806099">
              <w:rPr>
                <w:rFonts w:ascii="Times New Roman" w:hAnsi="Times New Roman"/>
                <w:sz w:val="24"/>
                <w:szCs w:val="24"/>
              </w:rPr>
              <w:t xml:space="preserve">need for an annual delivery </w:t>
            </w:r>
            <w:r w:rsidR="00AD55BE">
              <w:rPr>
                <w:rFonts w:ascii="Times New Roman" w:hAnsi="Times New Roman"/>
                <w:sz w:val="24"/>
                <w:szCs w:val="24"/>
              </w:rPr>
              <w:t>of about 150,000 units of lower-</w:t>
            </w:r>
            <w:r w:rsidRPr="00806099">
              <w:rPr>
                <w:rFonts w:ascii="Times New Roman" w:hAnsi="Times New Roman"/>
                <w:sz w:val="24"/>
                <w:szCs w:val="24"/>
              </w:rPr>
              <w:t>priced housing for the next 20 years. The current annual supply is</w:t>
            </w:r>
            <w:r w:rsidR="00AD55BE">
              <w:rPr>
                <w:rFonts w:ascii="Times New Roman" w:hAnsi="Times New Roman"/>
                <w:sz w:val="24"/>
                <w:szCs w:val="24"/>
              </w:rPr>
              <w:t>,</w:t>
            </w:r>
            <w:r w:rsidRPr="00806099">
              <w:rPr>
                <w:rFonts w:ascii="Times New Roman" w:hAnsi="Times New Roman"/>
                <w:sz w:val="24"/>
                <w:szCs w:val="24"/>
              </w:rPr>
              <w:t xml:space="preserve"> how</w:t>
            </w:r>
            <w:r>
              <w:rPr>
                <w:rFonts w:ascii="Times New Roman" w:hAnsi="Times New Roman"/>
                <w:sz w:val="24"/>
                <w:szCs w:val="24"/>
              </w:rPr>
              <w:t>ever</w:t>
            </w:r>
            <w:r w:rsidR="00AD55BE">
              <w:rPr>
                <w:rFonts w:ascii="Times New Roman" w:hAnsi="Times New Roman"/>
                <w:sz w:val="24"/>
                <w:szCs w:val="24"/>
              </w:rPr>
              <w:t>,</w:t>
            </w:r>
            <w:r>
              <w:rPr>
                <w:rFonts w:ascii="Times New Roman" w:hAnsi="Times New Roman"/>
                <w:sz w:val="24"/>
                <w:szCs w:val="24"/>
              </w:rPr>
              <w:t xml:space="preserve"> between 30,000 and 40,000</w:t>
            </w:r>
            <w:r>
              <w:rPr>
                <w:rFonts w:ascii="Times New Roman" w:hAnsi="Times New Roman"/>
                <w:sz w:val="24"/>
                <w:szCs w:val="24"/>
                <w:vertAlign w:val="superscript"/>
              </w:rPr>
              <w:t>1</w:t>
            </w:r>
            <w:r>
              <w:rPr>
                <w:rFonts w:ascii="Times New Roman" w:hAnsi="Times New Roman"/>
                <w:sz w:val="24"/>
                <w:szCs w:val="24"/>
              </w:rPr>
              <w:t>.</w:t>
            </w:r>
          </w:p>
          <w:p w:rsidR="00587F65" w:rsidRPr="00806099" w:rsidRDefault="00587F65" w:rsidP="0055464B">
            <w:pPr>
              <w:spacing w:line="240" w:lineRule="auto"/>
              <w:jc w:val="both"/>
              <w:rPr>
                <w:rFonts w:ascii="Times New Roman" w:hAnsi="Times New Roman"/>
                <w:sz w:val="24"/>
                <w:szCs w:val="24"/>
              </w:rPr>
            </w:pPr>
            <w:r w:rsidRPr="00806099">
              <w:rPr>
                <w:rFonts w:ascii="Times New Roman" w:hAnsi="Times New Roman"/>
                <w:sz w:val="24"/>
                <w:szCs w:val="24"/>
              </w:rPr>
              <w:t>The business environment is favorable to real estate investors. Capital, profits and di</w:t>
            </w:r>
            <w:r w:rsidR="00AD55BE">
              <w:rPr>
                <w:rFonts w:ascii="Times New Roman" w:hAnsi="Times New Roman"/>
                <w:sz w:val="24"/>
                <w:szCs w:val="24"/>
              </w:rPr>
              <w:t>vidends are freely transferable;</w:t>
            </w:r>
            <w:r w:rsidRPr="00806099">
              <w:rPr>
                <w:rFonts w:ascii="Times New Roman" w:hAnsi="Times New Roman"/>
                <w:sz w:val="24"/>
                <w:szCs w:val="24"/>
              </w:rPr>
              <w:t xml:space="preserve"> there are g</w:t>
            </w:r>
            <w:r w:rsidR="00AD55BE">
              <w:rPr>
                <w:rFonts w:ascii="Times New Roman" w:hAnsi="Times New Roman"/>
                <w:sz w:val="24"/>
                <w:szCs w:val="24"/>
              </w:rPr>
              <w:t>uarantees against expropriation;</w:t>
            </w:r>
            <w:r w:rsidRPr="00806099">
              <w:rPr>
                <w:rFonts w:ascii="Times New Roman" w:hAnsi="Times New Roman"/>
                <w:sz w:val="24"/>
                <w:szCs w:val="24"/>
              </w:rPr>
              <w:t xml:space="preserve"> and double taxation agreements have been signed with several countries. Though the Kumasi Metropolitan Assembly (KMA) does not have </w:t>
            </w:r>
            <w:r>
              <w:rPr>
                <w:rFonts w:ascii="Times New Roman" w:hAnsi="Times New Roman"/>
                <w:sz w:val="24"/>
                <w:szCs w:val="24"/>
              </w:rPr>
              <w:t xml:space="preserve">a </w:t>
            </w:r>
            <w:r w:rsidRPr="00806099">
              <w:rPr>
                <w:rFonts w:ascii="Times New Roman" w:hAnsi="Times New Roman"/>
                <w:sz w:val="24"/>
                <w:szCs w:val="24"/>
              </w:rPr>
              <w:t xml:space="preserve">land bank, some </w:t>
            </w:r>
            <w:proofErr w:type="gramStart"/>
            <w:r w:rsidRPr="00806099">
              <w:rPr>
                <w:rFonts w:ascii="Times New Roman" w:hAnsi="Times New Roman"/>
                <w:sz w:val="24"/>
                <w:szCs w:val="24"/>
              </w:rPr>
              <w:t>land owners</w:t>
            </w:r>
            <w:proofErr w:type="gramEnd"/>
            <w:r w:rsidRPr="00806099">
              <w:rPr>
                <w:rFonts w:ascii="Times New Roman" w:hAnsi="Times New Roman"/>
                <w:sz w:val="24"/>
                <w:szCs w:val="24"/>
              </w:rPr>
              <w:t xml:space="preserve"> hold large tracts of land that they are willing and read</w:t>
            </w:r>
            <w:r>
              <w:rPr>
                <w:rFonts w:ascii="Times New Roman" w:hAnsi="Times New Roman"/>
                <w:sz w:val="24"/>
                <w:szCs w:val="24"/>
              </w:rPr>
              <w:t>y to lease for investments in real estate</w:t>
            </w:r>
            <w:r w:rsidRPr="00806099">
              <w:rPr>
                <w:rFonts w:ascii="Times New Roman" w:hAnsi="Times New Roman"/>
                <w:sz w:val="24"/>
                <w:szCs w:val="24"/>
              </w:rPr>
              <w:t>. In 2003 the government, in partnership with the World Bank, launched the Land Administration Project (LAP) to develop policy and institutional reform t</w:t>
            </w:r>
            <w:r w:rsidR="00AD55BE">
              <w:rPr>
                <w:rFonts w:ascii="Times New Roman" w:hAnsi="Times New Roman"/>
                <w:sz w:val="24"/>
                <w:szCs w:val="24"/>
              </w:rPr>
              <w:t>o build a fair, efficient, cost-</w:t>
            </w:r>
            <w:r w:rsidRPr="00806099">
              <w:rPr>
                <w:rFonts w:ascii="Times New Roman" w:hAnsi="Times New Roman"/>
                <w:sz w:val="24"/>
                <w:szCs w:val="24"/>
              </w:rPr>
              <w:t xml:space="preserve">effective land sector and crucially deliver land tenure security. </w:t>
            </w:r>
          </w:p>
          <w:p w:rsidR="00587F65" w:rsidRPr="00806099" w:rsidRDefault="00587F65" w:rsidP="0055464B">
            <w:pPr>
              <w:spacing w:line="240" w:lineRule="auto"/>
              <w:jc w:val="both"/>
              <w:rPr>
                <w:rFonts w:ascii="Times New Roman" w:hAnsi="Times New Roman"/>
                <w:sz w:val="24"/>
                <w:szCs w:val="24"/>
              </w:rPr>
            </w:pPr>
            <w:r w:rsidRPr="00806099">
              <w:rPr>
                <w:rFonts w:ascii="Times New Roman" w:hAnsi="Times New Roman"/>
                <w:sz w:val="24"/>
                <w:szCs w:val="24"/>
              </w:rPr>
              <w:t>Mortgage lending is relatively well established, thanks to the existence of HFC bank, and the concept of property loans is well entrenched compared to many developing countries. Mortgage penetration is around 8%, low by international standards and indicating scope for growth.</w:t>
            </w: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Pr="00806099"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 xml:space="preserve">Introduction to Kumasi </w:t>
            </w: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Kumasi is located centrally in the Ashanti Region, forming an important transport and commercial hub for both domestic and international traffic. It is the key transportation link between the south and north of Ghana as well as the surrounding landlocked countries. It has a national airport with several flights a day to Accra.</w:t>
            </w:r>
          </w:p>
          <w:p w:rsidR="00587F65" w:rsidRDefault="00587F65" w:rsidP="0055464B">
            <w:pPr>
              <w:pStyle w:val="NoSpacing1"/>
              <w:jc w:val="both"/>
              <w:rPr>
                <w:rFonts w:ascii="Times New Roman" w:hAnsi="Times New Roman"/>
                <w:sz w:val="24"/>
                <w:szCs w:val="24"/>
              </w:rPr>
            </w:pP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With some 5 million inhabitants (4,780,380 according to the 2010 national census), the Ashanti region is the most populous region in Ghana. The region occupie</w:t>
            </w:r>
            <w:r w:rsidR="000B5C91">
              <w:rPr>
                <w:rFonts w:ascii="Times New Roman" w:hAnsi="Times New Roman"/>
                <w:sz w:val="24"/>
                <w:szCs w:val="24"/>
              </w:rPr>
              <w:t>s a total land area of 24,389km</w:t>
            </w:r>
            <w:r>
              <w:rPr>
                <w:rFonts w:ascii="Times New Roman" w:hAnsi="Times New Roman"/>
                <w:sz w:val="24"/>
                <w:szCs w:val="24"/>
                <w:vertAlign w:val="superscript"/>
              </w:rPr>
              <w:t>2</w:t>
            </w:r>
            <w:r>
              <w:rPr>
                <w:rFonts w:ascii="Times New Roman" w:hAnsi="Times New Roman"/>
                <w:sz w:val="24"/>
                <w:szCs w:val="24"/>
              </w:rPr>
              <w:t xml:space="preserve"> (approximately 10 percent of total land in Ghana) and has Kumasi as its regional capital.  </w:t>
            </w:r>
          </w:p>
          <w:p w:rsidR="00587F65" w:rsidRDefault="00587F65" w:rsidP="0055464B">
            <w:pPr>
              <w:pStyle w:val="NoSpacing1"/>
              <w:jc w:val="both"/>
              <w:rPr>
                <w:rFonts w:ascii="Times New Roman" w:hAnsi="Times New Roman"/>
                <w:sz w:val="24"/>
                <w:szCs w:val="24"/>
              </w:rPr>
            </w:pP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Kumasi’s daytime population is estimated to reach 2.5</w:t>
            </w:r>
            <w:r w:rsidR="000B5C91">
              <w:rPr>
                <w:rFonts w:ascii="Times New Roman" w:hAnsi="Times New Roman"/>
                <w:sz w:val="24"/>
                <w:szCs w:val="24"/>
              </w:rPr>
              <w:t xml:space="preserve"> </w:t>
            </w:r>
            <w:r>
              <w:rPr>
                <w:rFonts w:ascii="Times New Roman" w:hAnsi="Times New Roman"/>
                <w:sz w:val="24"/>
                <w:szCs w:val="24"/>
              </w:rPr>
              <w:t>million people because of its role as a commercial centre. Officially, Kumasi recorded 2,035,06</w:t>
            </w:r>
            <w:r w:rsidR="000B5C91">
              <w:rPr>
                <w:rFonts w:ascii="Times New Roman" w:hAnsi="Times New Roman"/>
                <w:sz w:val="24"/>
                <w:szCs w:val="24"/>
              </w:rPr>
              <w:t>4 inhabitants in 2010. The city’</w:t>
            </w:r>
            <w:r>
              <w:rPr>
                <w:rFonts w:ascii="Times New Roman" w:hAnsi="Times New Roman"/>
                <w:sz w:val="24"/>
                <w:szCs w:val="24"/>
              </w:rPr>
              <w:t>s population is growing fast; it has almost doubled since 2000, from a little over 1 million people.</w:t>
            </w:r>
          </w:p>
          <w:p w:rsidR="00587F65" w:rsidRDefault="00587F65" w:rsidP="0055464B">
            <w:pPr>
              <w:pStyle w:val="NoSpacing1"/>
              <w:jc w:val="both"/>
              <w:rPr>
                <w:rFonts w:ascii="Times New Roman" w:hAnsi="Times New Roman"/>
                <w:sz w:val="24"/>
                <w:szCs w:val="24"/>
              </w:rPr>
            </w:pPr>
          </w:p>
          <w:p w:rsidR="00587F65" w:rsidRDefault="00587F65" w:rsidP="0055464B">
            <w:pPr>
              <w:pStyle w:val="NoSpacing1"/>
              <w:jc w:val="both"/>
              <w:rPr>
                <w:rFonts w:ascii="Times New Roman" w:hAnsi="Times New Roman"/>
                <w:b/>
                <w:sz w:val="24"/>
                <w:szCs w:val="24"/>
              </w:rPr>
            </w:pPr>
            <w:r>
              <w:rPr>
                <w:rFonts w:ascii="Times New Roman" w:hAnsi="Times New Roman"/>
                <w:b/>
                <w:sz w:val="24"/>
                <w:szCs w:val="24"/>
              </w:rPr>
              <w:t>Population Trend: The Ashanti Region and Kumasi, 1984 to 2015</w:t>
            </w:r>
          </w:p>
          <w:p w:rsidR="00587F65" w:rsidRDefault="00587F65" w:rsidP="0055464B">
            <w:pPr>
              <w:pStyle w:val="NoSpacing1"/>
              <w:jc w:val="both"/>
              <w:rPr>
                <w:rFonts w:ascii="Times New Roman" w:hAnsi="Times New Roman"/>
                <w:sz w:val="24"/>
                <w:szCs w:val="24"/>
              </w:rPr>
            </w:pPr>
            <w:r w:rsidRPr="00EE703B">
              <w:rPr>
                <w:noProof/>
              </w:rPr>
              <w:pict>
                <v:shape id="_x0000_s1040" type="#_x0000_t202" style="position:absolute;left:0;text-align:left;margin-left:401.3pt;margin-top:84.35pt;width:51.6pt;height:21.0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" stroked="f">
                  <v:textbox>
                    <w:txbxContent>
                      <w:p w:rsidR="00587F65" w:rsidRDefault="00587F65" w:rsidP="00012F8A">
                        <w:pPr>
                          <w:rPr>
                            <w:sz w:val="20"/>
                            <w:szCs w:val="20"/>
                          </w:rPr>
                        </w:pPr>
                        <w:r>
                          <w:rPr>
                            <w:sz w:val="20"/>
                            <w:szCs w:val="20"/>
                          </w:rPr>
                          <w:t>ASHANTI</w:t>
                        </w:r>
                      </w:p>
                    </w:txbxContent>
                  </v:textbox>
                </v:shape>
              </w:pict>
            </w:r>
            <w:r>
              <w:rPr>
                <w:rFonts w:ascii="Times New Roman" w:hAnsi="Times New Roman"/>
                <w:noProof/>
                <w:sz w:val="24"/>
                <w:szCs w:val="24"/>
              </w:rPr>
              <w:drawing>
                <wp:inline distT="0" distB="0" distL="0" distR="0">
                  <wp:extent cx="5784215" cy="2200910"/>
                  <wp:effectExtent l="19050" t="0" r="698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784215" cy="2200910"/>
                          </a:xfrm>
                          <a:prstGeom prst="rect">
                            <a:avLst/>
                          </a:prstGeom>
                          <a:noFill/>
                          <a:ln w="9525">
                            <a:noFill/>
                            <a:miter lim="800000"/>
                            <a:headEnd/>
                            <a:tailEnd/>
                          </a:ln>
                        </pic:spPr>
                      </pic:pic>
                    </a:graphicData>
                  </a:graphic>
                </wp:inline>
              </w:drawing>
            </w: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Source: KMA Statistics, 2012</w:t>
            </w:r>
          </w:p>
          <w:p w:rsidR="00587F65" w:rsidRDefault="00587F65" w:rsidP="0055464B">
            <w:pPr>
              <w:pStyle w:val="NoSpacing1"/>
              <w:jc w:val="both"/>
              <w:rPr>
                <w:rFonts w:ascii="Times New Roman" w:hAnsi="Times New Roman"/>
                <w:sz w:val="24"/>
                <w:szCs w:val="24"/>
              </w:rPr>
            </w:pPr>
          </w:p>
          <w:p w:rsidR="00587F65" w:rsidRDefault="00587F65" w:rsidP="0055464B">
            <w:pPr>
              <w:pStyle w:val="NoSpacing1"/>
              <w:jc w:val="both"/>
              <w:rPr>
                <w:rFonts w:ascii="Times New Roman" w:hAnsi="Times New Roman"/>
                <w:color w:val="000000" w:themeColor="text1"/>
                <w:sz w:val="24"/>
                <w:szCs w:val="24"/>
              </w:rPr>
            </w:pPr>
            <w:r>
              <w:rPr>
                <w:rFonts w:ascii="Times New Roman" w:hAnsi="Times New Roman"/>
                <w:sz w:val="24"/>
                <w:szCs w:val="24"/>
              </w:rPr>
              <w:t>Kumasi’s strategic geographic location makes it a brisk commercial and administrative centre, and it is often regarded as the commercial capital of Ghana, with West Africa’s largest open-area market, the Kumasi Central Market</w:t>
            </w:r>
            <w:r w:rsidR="000B5C91">
              <w:rPr>
                <w:rFonts w:ascii="Times New Roman" w:hAnsi="Times New Roman"/>
                <w:color w:val="000000" w:themeColor="text1"/>
                <w:sz w:val="24"/>
                <w:szCs w:val="24"/>
              </w:rPr>
              <w:t>. The e</w:t>
            </w:r>
            <w:r>
              <w:rPr>
                <w:rFonts w:ascii="Times New Roman" w:hAnsi="Times New Roman"/>
                <w:color w:val="000000" w:themeColor="text1"/>
                <w:sz w:val="24"/>
                <w:szCs w:val="24"/>
              </w:rPr>
              <w:t xml:space="preserve">stimated </w:t>
            </w:r>
            <w:r w:rsidR="000B5C91">
              <w:rPr>
                <w:rFonts w:ascii="Times New Roman" w:hAnsi="Times New Roman"/>
                <w:color w:val="000000" w:themeColor="text1"/>
                <w:sz w:val="24"/>
                <w:szCs w:val="24"/>
              </w:rPr>
              <w:t xml:space="preserve">commercial </w:t>
            </w:r>
            <w:proofErr w:type="gramStart"/>
            <w:r>
              <w:rPr>
                <w:rFonts w:ascii="Times New Roman" w:hAnsi="Times New Roman"/>
                <w:color w:val="000000" w:themeColor="text1"/>
                <w:sz w:val="24"/>
                <w:szCs w:val="24"/>
              </w:rPr>
              <w:t>market</w:t>
            </w:r>
            <w:proofErr w:type="gramEnd"/>
            <w:r>
              <w:rPr>
                <w:rFonts w:ascii="Times New Roman" w:hAnsi="Times New Roman"/>
                <w:color w:val="000000" w:themeColor="text1"/>
                <w:sz w:val="24"/>
                <w:szCs w:val="24"/>
              </w:rPr>
              <w:t xml:space="preserve"> reachable within 1 day of ground travel is </w:t>
            </w:r>
            <w:proofErr w:type="gramStart"/>
            <w:r>
              <w:rPr>
                <w:rFonts w:ascii="Times New Roman" w:hAnsi="Times New Roman"/>
                <w:color w:val="000000" w:themeColor="text1"/>
                <w:sz w:val="24"/>
                <w:szCs w:val="24"/>
              </w:rPr>
              <w:t>approximately</w:t>
            </w:r>
            <w:r w:rsidR="000B5C91">
              <w:rPr>
                <w:rFonts w:ascii="Times New Roman" w:hAnsi="Times New Roman"/>
                <w:color w:val="000000" w:themeColor="text1"/>
                <w:sz w:val="24"/>
                <w:szCs w:val="24"/>
              </w:rPr>
              <w:t xml:space="preserve"> 12 million consumers</w:t>
            </w:r>
            <w:proofErr w:type="gramEnd"/>
            <w:r w:rsidR="000B5C91">
              <w:rPr>
                <w:rFonts w:ascii="Times New Roman" w:hAnsi="Times New Roman"/>
                <w:color w:val="000000" w:themeColor="text1"/>
                <w:sz w:val="24"/>
                <w:szCs w:val="24"/>
              </w:rPr>
              <w:t xml:space="preserve"> (Ashanti R</w:t>
            </w:r>
            <w:r>
              <w:rPr>
                <w:rFonts w:ascii="Times New Roman" w:hAnsi="Times New Roman"/>
                <w:color w:val="000000" w:themeColor="text1"/>
                <w:sz w:val="24"/>
                <w:szCs w:val="24"/>
              </w:rPr>
              <w:t>egion and surrounding regions, approx. half of</w:t>
            </w:r>
            <w:r w:rsidR="000B5C91">
              <w:rPr>
                <w:rFonts w:ascii="Times New Roman" w:hAnsi="Times New Roman"/>
                <w:color w:val="000000" w:themeColor="text1"/>
                <w:sz w:val="24"/>
                <w:szCs w:val="24"/>
              </w:rPr>
              <w:t xml:space="preserve"> Ghana’</w:t>
            </w:r>
            <w:r>
              <w:rPr>
                <w:rFonts w:ascii="Times New Roman" w:hAnsi="Times New Roman"/>
                <w:color w:val="000000" w:themeColor="text1"/>
                <w:sz w:val="24"/>
                <w:szCs w:val="24"/>
              </w:rPr>
              <w:t xml:space="preserve">s population). </w:t>
            </w:r>
          </w:p>
          <w:p w:rsidR="00587F65" w:rsidRDefault="00587F65" w:rsidP="0055464B">
            <w:pPr>
              <w:pStyle w:val="NoSpacing1"/>
              <w:jc w:val="both"/>
              <w:rPr>
                <w:rFonts w:ascii="Times New Roman" w:hAnsi="Times New Roman"/>
                <w:sz w:val="24"/>
                <w:szCs w:val="24"/>
              </w:rPr>
            </w:pP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 xml:space="preserve">Kumasi has already proved attractive to a number of large foreign investors. Agro-processing giant Archer Daniels Midland (ADM) has been operating a cocoa processing facility in Kumasi since July 2009. Other major players with </w:t>
            </w:r>
            <w:r w:rsidR="000B5C91">
              <w:rPr>
                <w:rFonts w:ascii="Times New Roman" w:hAnsi="Times New Roman"/>
                <w:sz w:val="24"/>
                <w:szCs w:val="24"/>
              </w:rPr>
              <w:t xml:space="preserve">an </w:t>
            </w:r>
            <w:r>
              <w:rPr>
                <w:rFonts w:ascii="Times New Roman" w:hAnsi="Times New Roman"/>
                <w:sz w:val="24"/>
                <w:szCs w:val="24"/>
              </w:rPr>
              <w:t>activ</w:t>
            </w:r>
            <w:r w:rsidR="000B5C91">
              <w:rPr>
                <w:rFonts w:ascii="Times New Roman" w:hAnsi="Times New Roman"/>
                <w:sz w:val="24"/>
                <w:szCs w:val="24"/>
              </w:rPr>
              <w:t>e presence include Coca-</w:t>
            </w:r>
            <w:r>
              <w:rPr>
                <w:rFonts w:ascii="Times New Roman" w:hAnsi="Times New Roman"/>
                <w:sz w:val="24"/>
                <w:szCs w:val="24"/>
              </w:rPr>
              <w:t>Cola and Guinness</w:t>
            </w:r>
            <w:r w:rsidR="000B5C91">
              <w:rPr>
                <w:rFonts w:ascii="Times New Roman" w:hAnsi="Times New Roman"/>
                <w:sz w:val="24"/>
                <w:szCs w:val="24"/>
              </w:rPr>
              <w:t>,</w:t>
            </w:r>
            <w:r>
              <w:rPr>
                <w:rFonts w:ascii="Times New Roman" w:hAnsi="Times New Roman"/>
                <w:sz w:val="24"/>
                <w:szCs w:val="24"/>
              </w:rPr>
              <w:t xml:space="preserve"> which bo</w:t>
            </w:r>
            <w:r w:rsidR="000B5C91">
              <w:rPr>
                <w:rFonts w:ascii="Times New Roman" w:hAnsi="Times New Roman"/>
                <w:sz w:val="24"/>
                <w:szCs w:val="24"/>
              </w:rPr>
              <w:t xml:space="preserve">th have bottling plants in the city. </w:t>
            </w:r>
            <w:r>
              <w:rPr>
                <w:rFonts w:ascii="Times New Roman" w:hAnsi="Times New Roman"/>
                <w:sz w:val="24"/>
                <w:szCs w:val="24"/>
              </w:rPr>
              <w:t xml:space="preserve">Other international companies with offices in Kumasi include </w:t>
            </w:r>
            <w:proofErr w:type="spellStart"/>
            <w:r>
              <w:rPr>
                <w:rFonts w:ascii="Times New Roman" w:hAnsi="Times New Roman"/>
                <w:sz w:val="24"/>
                <w:szCs w:val="24"/>
              </w:rPr>
              <w:t>Maersk</w:t>
            </w:r>
            <w:proofErr w:type="spellEnd"/>
            <w:r>
              <w:rPr>
                <w:rFonts w:ascii="Times New Roman" w:hAnsi="Times New Roman"/>
                <w:sz w:val="24"/>
                <w:szCs w:val="24"/>
              </w:rPr>
              <w:t>, Barclays Bank, Standard Chartered Bank and Unilever, which has been operating in Ghana for over 70 years.</w:t>
            </w:r>
          </w:p>
          <w:p w:rsidR="00587F65" w:rsidRDefault="00587F65" w:rsidP="0055464B">
            <w:pPr>
              <w:pStyle w:val="NoSpacing1"/>
              <w:jc w:val="both"/>
              <w:rPr>
                <w:rFonts w:ascii="Times New Roman" w:hAnsi="Times New Roman"/>
                <w:sz w:val="24"/>
                <w:szCs w:val="24"/>
              </w:rPr>
            </w:pPr>
          </w:p>
          <w:p w:rsidR="00587F65" w:rsidRDefault="00587F65" w:rsidP="0055464B">
            <w:pPr>
              <w:pStyle w:val="NoSpacing"/>
              <w:rPr>
                <w:rFonts w:ascii="Times New Roman" w:hAnsi="Times New Roman"/>
                <w:sz w:val="24"/>
                <w:szCs w:val="24"/>
                <w:lang w:val="en-GB"/>
              </w:rPr>
            </w:pPr>
            <w:r>
              <w:rPr>
                <w:rFonts w:ascii="Times New Roman" w:hAnsi="Times New Roman"/>
                <w:sz w:val="24"/>
                <w:szCs w:val="24"/>
                <w:lang w:val="en-GB"/>
              </w:rPr>
              <w:t xml:space="preserve">Ghana is divided into ten administrative regions. </w:t>
            </w:r>
            <w:proofErr w:type="gramStart"/>
            <w:r>
              <w:rPr>
                <w:rFonts w:ascii="Times New Roman" w:hAnsi="Times New Roman"/>
                <w:sz w:val="24"/>
                <w:szCs w:val="24"/>
                <w:lang w:val="en-GB"/>
              </w:rPr>
              <w:t>Each region is headed by a Regional Minister appointed by the President</w:t>
            </w:r>
            <w:proofErr w:type="gramEnd"/>
            <w:r>
              <w:rPr>
                <w:rFonts w:ascii="Times New Roman" w:hAnsi="Times New Roman"/>
                <w:sz w:val="24"/>
                <w:szCs w:val="24"/>
                <w:lang w:val="en-GB"/>
              </w:rPr>
              <w:t>. The principal units of local government are the district assemblies. There are thr</w:t>
            </w:r>
            <w:r w:rsidR="000B5C91">
              <w:rPr>
                <w:rFonts w:ascii="Times New Roman" w:hAnsi="Times New Roman"/>
                <w:sz w:val="24"/>
                <w:szCs w:val="24"/>
                <w:lang w:val="en-GB"/>
              </w:rPr>
              <w:t>ee kinds of districts in Ghana:</w:t>
            </w:r>
            <w:r>
              <w:rPr>
                <w:rFonts w:ascii="Times New Roman" w:hAnsi="Times New Roman"/>
                <w:sz w:val="24"/>
                <w:szCs w:val="24"/>
                <w:lang w:val="en-GB"/>
              </w:rPr>
              <w:t xml:space="preserve"> districts, municipalities and metropolis. Between the district assemblies and the central government are the regional coordinating councils. The role of these bodies is to administer and coordinate policy implementation at the local level.</w:t>
            </w:r>
          </w:p>
          <w:p w:rsidR="00587F65" w:rsidRDefault="00587F65" w:rsidP="0055464B">
            <w:pPr>
              <w:pStyle w:val="NoSpacing"/>
              <w:rPr>
                <w:rFonts w:ascii="Times New Roman" w:eastAsiaTheme="minorHAnsi" w:hAnsi="Times New Roman"/>
                <w:sz w:val="24"/>
                <w:szCs w:val="24"/>
                <w:lang w:val="en-US"/>
              </w:rPr>
            </w:pPr>
          </w:p>
          <w:p w:rsidR="00587F65" w:rsidRDefault="00587F65" w:rsidP="0055464B">
            <w:pPr>
              <w:pStyle w:val="NoSpacing"/>
              <w:rPr>
                <w:rFonts w:ascii="Times New Roman" w:eastAsiaTheme="minorHAnsi" w:hAnsi="Times New Roman"/>
                <w:sz w:val="24"/>
                <w:szCs w:val="24"/>
                <w:lang w:val="en-US"/>
              </w:rPr>
            </w:pPr>
            <w:proofErr w:type="gramStart"/>
            <w:r>
              <w:rPr>
                <w:rFonts w:ascii="Times New Roman" w:eastAsiaTheme="minorHAnsi" w:hAnsi="Times New Roman"/>
                <w:sz w:val="24"/>
                <w:szCs w:val="24"/>
                <w:lang w:val="en-US"/>
              </w:rPr>
              <w:t>Kumasi is administered by the Kumasi Metropolitan Assembly, with the Mayor serving as the city’s chief executive officer</w:t>
            </w:r>
            <w:proofErr w:type="gramEnd"/>
            <w:r>
              <w:rPr>
                <w:rFonts w:ascii="Times New Roman" w:eastAsiaTheme="minorHAnsi" w:hAnsi="Times New Roman"/>
                <w:sz w:val="24"/>
                <w:szCs w:val="24"/>
                <w:lang w:val="en-US"/>
              </w:rPr>
              <w:t xml:space="preserve">. The Ashanti Region as a whole is under the purview of the regional minister. </w:t>
            </w:r>
            <w:r>
              <w:rPr>
                <w:rFonts w:ascii="Times New Roman" w:hAnsi="Times New Roman"/>
                <w:sz w:val="24"/>
                <w:szCs w:val="24"/>
                <w:lang w:val="en-US"/>
              </w:rPr>
              <w:t xml:space="preserve">The institution of chieftaincy is very pronounced in the Ashanti Region and plays a significant role in its management especially in the area of land administration. </w:t>
            </w:r>
            <w:proofErr w:type="gramStart"/>
            <w:r>
              <w:rPr>
                <w:rFonts w:ascii="Times New Roman" w:hAnsi="Times New Roman"/>
                <w:sz w:val="24"/>
                <w:szCs w:val="24"/>
                <w:lang w:val="en-US"/>
              </w:rPr>
              <w:t xml:space="preserve">Most land in the Ashanti is administered by the </w:t>
            </w:r>
            <w:proofErr w:type="spellStart"/>
            <w:r>
              <w:rPr>
                <w:rFonts w:ascii="Times New Roman" w:hAnsi="Times New Roman"/>
                <w:sz w:val="24"/>
                <w:szCs w:val="24"/>
                <w:lang w:val="en-US"/>
              </w:rPr>
              <w:t>Asantehene</w:t>
            </w:r>
            <w:proofErr w:type="spellEnd"/>
            <w:proofErr w:type="gramEnd"/>
            <w:r>
              <w:rPr>
                <w:rFonts w:ascii="Times New Roman" w:hAnsi="Times New Roman"/>
                <w:sz w:val="24"/>
                <w:szCs w:val="24"/>
                <w:lang w:val="en-US"/>
              </w:rPr>
              <w:t xml:space="preserve"> (Ashanti King) and relatively small portions belong to the state under the administration of the Lands Commission. The </w:t>
            </w:r>
            <w:proofErr w:type="spellStart"/>
            <w:r>
              <w:rPr>
                <w:rFonts w:ascii="Times New Roman" w:hAnsi="Times New Roman"/>
                <w:sz w:val="24"/>
                <w:szCs w:val="24"/>
                <w:lang w:val="en-US"/>
              </w:rPr>
              <w:t>Asantehene</w:t>
            </w:r>
            <w:proofErr w:type="spellEnd"/>
            <w:r>
              <w:rPr>
                <w:rFonts w:ascii="Times New Roman" w:hAnsi="Times New Roman"/>
                <w:sz w:val="24"/>
                <w:szCs w:val="24"/>
                <w:lang w:val="en-US"/>
              </w:rPr>
              <w:t xml:space="preserve"> is assisted by a variety of chiefs ranging from paramo</w:t>
            </w:r>
            <w:r w:rsidR="000B5C91">
              <w:rPr>
                <w:rFonts w:ascii="Times New Roman" w:hAnsi="Times New Roman"/>
                <w:sz w:val="24"/>
                <w:szCs w:val="24"/>
                <w:lang w:val="en-US"/>
              </w:rPr>
              <w:t xml:space="preserve">unt, divisional and sub chiefs to </w:t>
            </w:r>
            <w:r>
              <w:rPr>
                <w:rFonts w:ascii="Times New Roman" w:hAnsi="Times New Roman"/>
                <w:sz w:val="24"/>
                <w:szCs w:val="24"/>
                <w:lang w:val="en-US"/>
              </w:rPr>
              <w:t>stool and clan elders</w:t>
            </w:r>
            <w:r w:rsidR="000B5C91">
              <w:rPr>
                <w:rFonts w:ascii="Times New Roman" w:hAnsi="Times New Roman"/>
                <w:sz w:val="24"/>
                <w:szCs w:val="24"/>
                <w:lang w:val="en-US"/>
              </w:rPr>
              <w:t>,</w:t>
            </w:r>
            <w:r>
              <w:rPr>
                <w:rFonts w:ascii="Times New Roman" w:hAnsi="Times New Roman"/>
                <w:sz w:val="24"/>
                <w:szCs w:val="24"/>
                <w:lang w:val="en-US"/>
              </w:rPr>
              <w:t xml:space="preserve"> who all play roles in land acquisition</w:t>
            </w:r>
            <w:r w:rsidR="000B5C91">
              <w:rPr>
                <w:rFonts w:ascii="Times New Roman" w:hAnsi="Times New Roman"/>
                <w:sz w:val="24"/>
                <w:szCs w:val="24"/>
                <w:lang w:val="en-US"/>
              </w:rPr>
              <w:t>,</w:t>
            </w:r>
            <w:r>
              <w:rPr>
                <w:rFonts w:ascii="Times New Roman" w:hAnsi="Times New Roman"/>
                <w:sz w:val="24"/>
                <w:szCs w:val="24"/>
                <w:lang w:val="en-US"/>
              </w:rPr>
              <w:t xml:space="preserve"> with the </w:t>
            </w:r>
            <w:proofErr w:type="spellStart"/>
            <w:r>
              <w:rPr>
                <w:rFonts w:ascii="Times New Roman" w:hAnsi="Times New Roman"/>
                <w:sz w:val="24"/>
                <w:szCs w:val="24"/>
                <w:lang w:val="en-US"/>
              </w:rPr>
              <w:t>Asantehene</w:t>
            </w:r>
            <w:proofErr w:type="spellEnd"/>
            <w:r>
              <w:rPr>
                <w:rFonts w:ascii="Times New Roman" w:hAnsi="Times New Roman"/>
                <w:sz w:val="24"/>
                <w:szCs w:val="24"/>
                <w:lang w:val="en-US"/>
              </w:rPr>
              <w:t xml:space="preserve"> playing the ultimate role.</w:t>
            </w:r>
          </w:p>
          <w:p w:rsidR="00587F65" w:rsidRDefault="00587F65" w:rsidP="0055464B">
            <w:pPr>
              <w:pStyle w:val="NoSpacing1"/>
              <w:jc w:val="both"/>
              <w:rPr>
                <w:rFonts w:ascii="Times New Roman" w:hAnsi="Times New Roman"/>
                <w:sz w:val="24"/>
                <w:szCs w:val="24"/>
              </w:rPr>
            </w:pPr>
          </w:p>
          <w:p w:rsidR="000B5C91" w:rsidRDefault="00587F65" w:rsidP="000B5C91">
            <w:pPr>
              <w:spacing w:after="0" w:line="240" w:lineRule="auto"/>
              <w:jc w:val="both"/>
              <w:rPr>
                <w:rFonts w:ascii="Times New Roman" w:hAnsi="Times New Roman"/>
                <w:sz w:val="24"/>
                <w:szCs w:val="24"/>
              </w:rPr>
            </w:pPr>
            <w:r>
              <w:rPr>
                <w:rFonts w:ascii="Times New Roman" w:hAnsi="Times New Roman"/>
                <w:sz w:val="24"/>
                <w:szCs w:val="24"/>
              </w:rPr>
              <w:t xml:space="preserve">Kumasi is home to numerous educational institutions, including the largest science and technology university in Ghana and in West Africa, the </w:t>
            </w:r>
            <w:proofErr w:type="spellStart"/>
            <w:r>
              <w:rPr>
                <w:rFonts w:ascii="Times New Roman" w:hAnsi="Times New Roman"/>
                <w:sz w:val="24"/>
                <w:szCs w:val="24"/>
              </w:rPr>
              <w:t>Kwame</w:t>
            </w:r>
            <w:proofErr w:type="spellEnd"/>
            <w:r>
              <w:rPr>
                <w:rFonts w:ascii="Times New Roman" w:hAnsi="Times New Roman"/>
                <w:sz w:val="24"/>
                <w:szCs w:val="24"/>
              </w:rPr>
              <w:t xml:space="preserve"> Nkrumah University of Science and Technology (KNUST), which has a student population of nearly 28,000, comprising both undergraduate and postgraduate students. </w:t>
            </w:r>
          </w:p>
          <w:p w:rsidR="00587F65" w:rsidRDefault="00587F65" w:rsidP="000B5C91">
            <w:pPr>
              <w:spacing w:after="0" w:line="240" w:lineRule="auto"/>
              <w:jc w:val="both"/>
              <w:rPr>
                <w:rFonts w:ascii="Times New Roman" w:hAnsi="Times New Roman"/>
                <w:sz w:val="24"/>
                <w:szCs w:val="24"/>
              </w:rPr>
            </w:pPr>
          </w:p>
          <w:p w:rsidR="00587F65" w:rsidRDefault="00587F65" w:rsidP="0055464B">
            <w:pPr>
              <w:spacing w:line="240" w:lineRule="auto"/>
              <w:jc w:val="both"/>
              <w:rPr>
                <w:rFonts w:ascii="Times New Roman" w:hAnsi="Times New Roman"/>
                <w:sz w:val="24"/>
                <w:szCs w:val="24"/>
              </w:rPr>
            </w:pPr>
            <w:r>
              <w:rPr>
                <w:rFonts w:ascii="Times New Roman" w:hAnsi="Times New Roman"/>
                <w:sz w:val="24"/>
                <w:szCs w:val="24"/>
              </w:rPr>
              <w:t>Kumasi’s location at the centre of the Ashanti Region and of Ghana, coupled with its good road network and airport, makes it the preferred trading centre for most of</w:t>
            </w:r>
            <w:r w:rsidR="000B5C91">
              <w:rPr>
                <w:rFonts w:ascii="Times New Roman" w:hAnsi="Times New Roman"/>
                <w:sz w:val="24"/>
                <w:szCs w:val="24"/>
              </w:rPr>
              <w:t xml:space="preserve"> the surrounding regions and </w:t>
            </w:r>
            <w:r>
              <w:rPr>
                <w:rFonts w:ascii="Times New Roman" w:hAnsi="Times New Roman"/>
                <w:sz w:val="24"/>
                <w:szCs w:val="24"/>
              </w:rPr>
              <w:t xml:space="preserve">an important commercial centre for West Africa. Kumasi serves as the commercial hub for the </w:t>
            </w:r>
            <w:proofErr w:type="spellStart"/>
            <w:r>
              <w:rPr>
                <w:rFonts w:ascii="Times New Roman" w:hAnsi="Times New Roman"/>
                <w:sz w:val="24"/>
                <w:szCs w:val="24"/>
              </w:rPr>
              <w:t>neighbo</w:t>
            </w:r>
            <w:r w:rsidR="000B5C91">
              <w:rPr>
                <w:rFonts w:ascii="Times New Roman" w:hAnsi="Times New Roman"/>
                <w:sz w:val="24"/>
                <w:szCs w:val="24"/>
              </w:rPr>
              <w:t>uring</w:t>
            </w:r>
            <w:proofErr w:type="spellEnd"/>
            <w:r w:rsidR="000B5C91">
              <w:rPr>
                <w:rFonts w:ascii="Times New Roman" w:hAnsi="Times New Roman"/>
                <w:sz w:val="24"/>
                <w:szCs w:val="24"/>
              </w:rPr>
              <w:t xml:space="preserve"> </w:t>
            </w:r>
            <w:proofErr w:type="spellStart"/>
            <w:r w:rsidR="000B5C91">
              <w:rPr>
                <w:rFonts w:ascii="Times New Roman" w:hAnsi="Times New Roman"/>
                <w:sz w:val="24"/>
                <w:szCs w:val="24"/>
              </w:rPr>
              <w:t>Brong-Ahafo</w:t>
            </w:r>
            <w:proofErr w:type="spellEnd"/>
            <w:r w:rsidR="000B5C91">
              <w:rPr>
                <w:rFonts w:ascii="Times New Roman" w:hAnsi="Times New Roman"/>
                <w:sz w:val="24"/>
                <w:szCs w:val="24"/>
              </w:rPr>
              <w:t xml:space="preserve"> R</w:t>
            </w:r>
            <w:r>
              <w:rPr>
                <w:rFonts w:ascii="Times New Roman" w:hAnsi="Times New Roman"/>
                <w:sz w:val="24"/>
                <w:szCs w:val="24"/>
              </w:rPr>
              <w:t>egion, the three northernmost regions of Ghana, and pa</w:t>
            </w:r>
            <w:r w:rsidR="000B5C91">
              <w:rPr>
                <w:rFonts w:ascii="Times New Roman" w:hAnsi="Times New Roman"/>
                <w:sz w:val="24"/>
                <w:szCs w:val="24"/>
              </w:rPr>
              <w:t>rts of the Western and Eastern R</w:t>
            </w:r>
            <w:r>
              <w:rPr>
                <w:rFonts w:ascii="Times New Roman" w:hAnsi="Times New Roman"/>
                <w:sz w:val="24"/>
                <w:szCs w:val="24"/>
              </w:rPr>
              <w:t xml:space="preserve">egions, creating a potential market of about 12 million people. An investor can access landlocked Burkina Faso, Mali and Niger with a total potential market of over 48 million people. Merchants from these landlocked countries trade at the Kumasi Central Market, West Africa’s largest </w:t>
            </w:r>
            <w:proofErr w:type="gramStart"/>
            <w:r>
              <w:rPr>
                <w:rFonts w:ascii="Times New Roman" w:hAnsi="Times New Roman"/>
                <w:sz w:val="24"/>
                <w:szCs w:val="24"/>
              </w:rPr>
              <w:t>open air</w:t>
            </w:r>
            <w:proofErr w:type="gramEnd"/>
            <w:r>
              <w:rPr>
                <w:rFonts w:ascii="Times New Roman" w:hAnsi="Times New Roman"/>
                <w:sz w:val="24"/>
                <w:szCs w:val="24"/>
              </w:rPr>
              <w:t xml:space="preserve"> market — to the extent that a section of the market has come to be called the “French line".</w:t>
            </w:r>
          </w:p>
          <w:p w:rsidR="00587F65" w:rsidRDefault="00587F65" w:rsidP="0055464B">
            <w:pPr>
              <w:spacing w:after="0" w:line="240" w:lineRule="auto"/>
              <w:jc w:val="both"/>
              <w:rPr>
                <w:rFonts w:ascii="Times New Roman" w:hAnsi="Times New Roman"/>
                <w:sz w:val="24"/>
                <w:szCs w:val="24"/>
              </w:rPr>
            </w:pPr>
            <w:r>
              <w:rPr>
                <w:rFonts w:ascii="Times New Roman" w:hAnsi="Times New Roman"/>
                <w:sz w:val="24"/>
                <w:szCs w:val="24"/>
              </w:rPr>
              <w:t>Through Ghana’s membership in the Economic Community of West African Countries (ECOWAS), Kumasi potentially serves an even larger market of over 250 million people.</w:t>
            </w:r>
          </w:p>
          <w:p w:rsidR="00587F65" w:rsidRPr="00806099" w:rsidRDefault="00587F65" w:rsidP="0055464B">
            <w:pPr>
              <w:spacing w:after="0" w:line="240" w:lineRule="auto"/>
              <w:jc w:val="both"/>
              <w:rPr>
                <w:rFonts w:ascii="Times New Roman" w:hAnsi="Times New Roman"/>
                <w:sz w:val="24"/>
                <w:szCs w:val="24"/>
              </w:rPr>
            </w:pP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Pr="00806099"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Market opportunity</w:t>
            </w: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 xml:space="preserve">With some 5 million inhabitants (4,780,380 according to the 2010 national census), the Ashanti Region is the most populous region in Ghana. The region occupies a total land area of 24,389km </w:t>
            </w:r>
            <w:r>
              <w:rPr>
                <w:rFonts w:ascii="Times New Roman" w:hAnsi="Times New Roman"/>
                <w:sz w:val="24"/>
                <w:szCs w:val="24"/>
                <w:vertAlign w:val="superscript"/>
              </w:rPr>
              <w:t>2</w:t>
            </w:r>
            <w:r>
              <w:rPr>
                <w:rFonts w:ascii="Times New Roman" w:hAnsi="Times New Roman"/>
                <w:sz w:val="24"/>
                <w:szCs w:val="24"/>
              </w:rPr>
              <w:t xml:space="preserve"> (approximately 10 percent of total land in Ghana) and has Kumasi as its regional capital.  </w:t>
            </w:r>
          </w:p>
          <w:p w:rsidR="00587F65" w:rsidRDefault="00587F65" w:rsidP="0055464B">
            <w:pPr>
              <w:pStyle w:val="NoSpacing1"/>
              <w:jc w:val="both"/>
              <w:rPr>
                <w:rFonts w:ascii="Times New Roman" w:hAnsi="Times New Roman"/>
                <w:sz w:val="24"/>
                <w:szCs w:val="24"/>
              </w:rPr>
            </w:pP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Kumasi’s daytime population is estimated to reach 2.5</w:t>
            </w:r>
            <w:r w:rsidR="000B5C91">
              <w:rPr>
                <w:rFonts w:ascii="Times New Roman" w:hAnsi="Times New Roman"/>
                <w:sz w:val="24"/>
                <w:szCs w:val="24"/>
              </w:rPr>
              <w:t xml:space="preserve"> </w:t>
            </w:r>
            <w:r>
              <w:rPr>
                <w:rFonts w:ascii="Times New Roman" w:hAnsi="Times New Roman"/>
                <w:sz w:val="24"/>
                <w:szCs w:val="24"/>
              </w:rPr>
              <w:t>million people because of its role as a commercial centre. Officially, Kumasi recorded 2,035,06</w:t>
            </w:r>
            <w:r w:rsidR="000B5C91">
              <w:rPr>
                <w:rFonts w:ascii="Times New Roman" w:hAnsi="Times New Roman"/>
                <w:sz w:val="24"/>
                <w:szCs w:val="24"/>
              </w:rPr>
              <w:t>4 inhabitants in 2010. The city’</w:t>
            </w:r>
            <w:r>
              <w:rPr>
                <w:rFonts w:ascii="Times New Roman" w:hAnsi="Times New Roman"/>
                <w:sz w:val="24"/>
                <w:szCs w:val="24"/>
              </w:rPr>
              <w:t>s population is growing fast; it has almost doubled since 2000, from a little over 1 million people. This growth presents an enormous opportunity for the development of housing units.</w:t>
            </w:r>
          </w:p>
          <w:p w:rsidR="00587F65" w:rsidRDefault="00587F65" w:rsidP="0055464B">
            <w:pPr>
              <w:pStyle w:val="NoSpacing1"/>
              <w:jc w:val="both"/>
              <w:rPr>
                <w:rFonts w:ascii="Times New Roman" w:hAnsi="Times New Roman"/>
                <w:sz w:val="24"/>
                <w:szCs w:val="24"/>
              </w:rPr>
            </w:pPr>
          </w:p>
          <w:p w:rsidR="000B5C91" w:rsidRDefault="000B5C91" w:rsidP="0055464B">
            <w:pPr>
              <w:pStyle w:val="NoSpacing1"/>
              <w:jc w:val="both"/>
              <w:rPr>
                <w:rFonts w:ascii="Times New Roman" w:hAnsi="Times New Roman"/>
                <w:b/>
                <w:sz w:val="24"/>
                <w:szCs w:val="24"/>
              </w:rPr>
            </w:pPr>
          </w:p>
          <w:p w:rsidR="000B5C91" w:rsidRDefault="000B5C91" w:rsidP="0055464B">
            <w:pPr>
              <w:pStyle w:val="NoSpacing1"/>
              <w:jc w:val="both"/>
              <w:rPr>
                <w:rFonts w:ascii="Times New Roman" w:hAnsi="Times New Roman"/>
                <w:b/>
                <w:sz w:val="24"/>
                <w:szCs w:val="24"/>
              </w:rPr>
            </w:pPr>
          </w:p>
          <w:p w:rsidR="000B5C91" w:rsidRDefault="000B5C91" w:rsidP="0055464B">
            <w:pPr>
              <w:pStyle w:val="NoSpacing1"/>
              <w:jc w:val="both"/>
              <w:rPr>
                <w:rFonts w:ascii="Times New Roman" w:hAnsi="Times New Roman"/>
                <w:b/>
                <w:sz w:val="24"/>
                <w:szCs w:val="24"/>
              </w:rPr>
            </w:pPr>
          </w:p>
          <w:p w:rsidR="00587F65" w:rsidRDefault="00587F65" w:rsidP="0055464B">
            <w:pPr>
              <w:pStyle w:val="NoSpacing1"/>
              <w:jc w:val="both"/>
              <w:rPr>
                <w:rFonts w:ascii="Times New Roman" w:hAnsi="Times New Roman"/>
                <w:b/>
                <w:sz w:val="24"/>
                <w:szCs w:val="24"/>
              </w:rPr>
            </w:pPr>
            <w:r>
              <w:rPr>
                <w:rFonts w:ascii="Times New Roman" w:hAnsi="Times New Roman"/>
                <w:b/>
                <w:sz w:val="24"/>
                <w:szCs w:val="24"/>
              </w:rPr>
              <w:t>Population Trend: The Ashanti Region and Kumasi, 1984 to 2015</w:t>
            </w:r>
          </w:p>
          <w:p w:rsidR="00587F65" w:rsidRDefault="00587F65" w:rsidP="0055464B">
            <w:pPr>
              <w:pStyle w:val="NoSpacing1"/>
              <w:jc w:val="both"/>
              <w:rPr>
                <w:rFonts w:ascii="Times New Roman" w:hAnsi="Times New Roman"/>
                <w:sz w:val="24"/>
                <w:szCs w:val="24"/>
              </w:rPr>
            </w:pPr>
            <w:r w:rsidRPr="00EE703B">
              <w:rPr>
                <w:noProof/>
              </w:rPr>
              <w:pict>
                <v:shape id="_x0000_s1041" type="#_x0000_t202" style="position:absolute;left:0;text-align:left;margin-left:401.3pt;margin-top:84.35pt;width:51.6pt;height:21.0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" stroked="f">
                  <v:textbox>
                    <w:txbxContent>
                      <w:p w:rsidR="00587F65" w:rsidRDefault="00587F65" w:rsidP="00012F8A">
                        <w:pPr>
                          <w:rPr>
                            <w:sz w:val="20"/>
                            <w:szCs w:val="20"/>
                          </w:rPr>
                        </w:pPr>
                        <w:r>
                          <w:rPr>
                            <w:sz w:val="20"/>
                            <w:szCs w:val="20"/>
                          </w:rPr>
                          <w:t>ASHANTI</w:t>
                        </w:r>
                      </w:p>
                    </w:txbxContent>
                  </v:textbox>
                </v:shape>
              </w:pict>
            </w:r>
            <w:r>
              <w:rPr>
                <w:rFonts w:ascii="Times New Roman" w:hAnsi="Times New Roman"/>
                <w:noProof/>
                <w:sz w:val="24"/>
                <w:szCs w:val="24"/>
              </w:rPr>
              <w:drawing>
                <wp:inline distT="0" distB="0" distL="0" distR="0">
                  <wp:extent cx="5784215" cy="2200910"/>
                  <wp:effectExtent l="19050" t="0" r="698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784215" cy="2200910"/>
                          </a:xfrm>
                          <a:prstGeom prst="rect">
                            <a:avLst/>
                          </a:prstGeom>
                          <a:noFill/>
                          <a:ln w="9525">
                            <a:noFill/>
                            <a:miter lim="800000"/>
                            <a:headEnd/>
                            <a:tailEnd/>
                          </a:ln>
                        </pic:spPr>
                      </pic:pic>
                    </a:graphicData>
                  </a:graphic>
                </wp:inline>
              </w:drawing>
            </w:r>
          </w:p>
          <w:p w:rsidR="00587F65" w:rsidRDefault="00587F65" w:rsidP="0055464B">
            <w:pPr>
              <w:pStyle w:val="NoSpacing1"/>
              <w:jc w:val="both"/>
              <w:rPr>
                <w:rFonts w:ascii="Times New Roman" w:hAnsi="Times New Roman"/>
                <w:sz w:val="24"/>
                <w:szCs w:val="24"/>
              </w:rPr>
            </w:pPr>
            <w:r>
              <w:rPr>
                <w:rFonts w:ascii="Times New Roman" w:hAnsi="Times New Roman"/>
                <w:sz w:val="24"/>
                <w:szCs w:val="24"/>
              </w:rPr>
              <w:t>Source: KMA Statistics, 2012</w:t>
            </w:r>
          </w:p>
          <w:p w:rsidR="00587F65" w:rsidRDefault="00587F65" w:rsidP="0055464B">
            <w:pPr>
              <w:autoSpaceDE w:val="0"/>
              <w:autoSpaceDN w:val="0"/>
              <w:adjustRightInd w:val="0"/>
              <w:spacing w:after="0" w:line="240" w:lineRule="auto"/>
              <w:jc w:val="both"/>
              <w:rPr>
                <w:rFonts w:ascii="Times New Roman" w:eastAsiaTheme="minorHAnsi" w:hAnsi="Times New Roman"/>
                <w:sz w:val="24"/>
                <w:szCs w:val="24"/>
              </w:rPr>
            </w:pP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r w:rsidRPr="00806099">
              <w:rPr>
                <w:rFonts w:ascii="Times New Roman" w:eastAsiaTheme="minorHAnsi" w:hAnsi="Times New Roman"/>
                <w:sz w:val="24"/>
                <w:szCs w:val="24"/>
              </w:rPr>
              <w:t xml:space="preserve">Ghana’s property market is dominated by residential and commercial development.  The residential market is the most active, registering an estimated of 85,000 (both existing and newly built residential apartments) transactions per annum over the past decade, with an estimated value of about US$1.7 </w:t>
            </w:r>
            <w:proofErr w:type="spellStart"/>
            <w:r w:rsidRPr="00806099">
              <w:rPr>
                <w:rFonts w:ascii="Times New Roman" w:eastAsiaTheme="minorHAnsi" w:hAnsi="Times New Roman"/>
                <w:sz w:val="24"/>
                <w:szCs w:val="24"/>
              </w:rPr>
              <w:t>bn</w:t>
            </w:r>
            <w:proofErr w:type="spellEnd"/>
            <w:r w:rsidRPr="00806099">
              <w:rPr>
                <w:rFonts w:ascii="Times New Roman" w:eastAsiaTheme="minorHAnsi" w:hAnsi="Times New Roman"/>
                <w:sz w:val="24"/>
                <w:szCs w:val="24"/>
              </w:rPr>
              <w:t xml:space="preserve"> per year.</w:t>
            </w: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r w:rsidRPr="00806099">
              <w:rPr>
                <w:rFonts w:ascii="Times New Roman" w:eastAsiaTheme="minorHAnsi" w:hAnsi="Times New Roman"/>
                <w:sz w:val="24"/>
                <w:szCs w:val="24"/>
              </w:rPr>
              <w:t>Industry sources indicate that Ghana's current residential property demand is 150,000 units per annum, with a shortfall of over 100,000 housing units. Current production of residential properties averages only 35,000 units per annum, implying a significant annual supply gap.</w:t>
            </w: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r w:rsidRPr="00806099">
              <w:rPr>
                <w:rFonts w:ascii="Times New Roman" w:eastAsiaTheme="minorHAnsi" w:hAnsi="Times New Roman"/>
                <w:sz w:val="24"/>
                <w:szCs w:val="24"/>
              </w:rPr>
              <w:t>Residential property rents range from US$1,500 to US$3,500 per month for bungalows in the upper-end market. Construction costs range from US$250-1,000 per m2 for buildings.</w:t>
            </w:r>
            <w:r w:rsidRPr="00806099">
              <w:rPr>
                <w:rFonts w:ascii="Times New Roman" w:hAnsi="Times New Roman"/>
                <w:sz w:val="24"/>
                <w:szCs w:val="24"/>
              </w:rPr>
              <w:t xml:space="preserve"> The total number of houses as of 2010 compared with the number of households indicated acute overcrowding in most houses. On the average, there are about 7.3 persons living in each house in Ghana. Ashanti region recorded 8.3, higher than the national average, corresponding with its high population.</w:t>
            </w:r>
            <w:r>
              <w:rPr>
                <w:rFonts w:ascii="Times New Roman" w:hAnsi="Times New Roman"/>
                <w:sz w:val="24"/>
                <w:szCs w:val="24"/>
              </w:rPr>
              <w:t xml:space="preserve"> </w:t>
            </w:r>
            <w:proofErr w:type="gramStart"/>
            <w:r>
              <w:rPr>
                <w:rFonts w:ascii="Times New Roman" w:hAnsi="Times New Roman"/>
                <w:sz w:val="24"/>
                <w:szCs w:val="24"/>
              </w:rPr>
              <w:t>density</w:t>
            </w:r>
            <w:proofErr w:type="gramEnd"/>
            <w:r w:rsidRPr="00806099">
              <w:rPr>
                <w:rFonts w:ascii="Times New Roman" w:hAnsi="Times New Roman"/>
                <w:sz w:val="24"/>
                <w:szCs w:val="24"/>
              </w:rPr>
              <w:t xml:space="preserve"> The census also indicated that the average household size in Ghana is 4.4 persons with about 1.6 households per house, and a total of 3,392,745 housing units nationwide. This number of households </w:t>
            </w:r>
            <w:proofErr w:type="spellStart"/>
            <w:r w:rsidRPr="00806099">
              <w:rPr>
                <w:rFonts w:ascii="Times New Roman" w:hAnsi="Times New Roman"/>
                <w:sz w:val="24"/>
                <w:szCs w:val="24"/>
              </w:rPr>
              <w:t>vis-a-vis</w:t>
            </w:r>
            <w:proofErr w:type="spellEnd"/>
            <w:r w:rsidRPr="00806099">
              <w:rPr>
                <w:rFonts w:ascii="Times New Roman" w:hAnsi="Times New Roman"/>
                <w:sz w:val="24"/>
                <w:szCs w:val="24"/>
              </w:rPr>
              <w:t xml:space="preserve"> the population is clearly inadequate. For instance if every household of 4.4 persons were to have a separate unit of housing then all things being equal, with a population of about 25 million, Ghana will need a total of 5,604,277 housing units.</w:t>
            </w:r>
          </w:p>
          <w:p w:rsidR="00587F65" w:rsidRDefault="00587F65" w:rsidP="0055464B">
            <w:pPr>
              <w:rPr>
                <w:rFonts w:ascii="Times New Roman" w:hAnsi="Times New Roman"/>
                <w:b/>
                <w:bCs/>
                <w:sz w:val="24"/>
                <w:szCs w:val="24"/>
              </w:rPr>
            </w:pPr>
            <w:r w:rsidRPr="00806099">
              <w:rPr>
                <w:rFonts w:ascii="Times New Roman" w:hAnsi="Times New Roman"/>
                <w:b/>
                <w:bCs/>
                <w:sz w:val="24"/>
                <w:szCs w:val="24"/>
              </w:rPr>
              <w:t xml:space="preserve"> </w:t>
            </w:r>
          </w:p>
          <w:p w:rsidR="004926FE" w:rsidRDefault="004926FE" w:rsidP="0055464B">
            <w:pPr>
              <w:rPr>
                <w:rFonts w:ascii="Times New Roman" w:hAnsi="Times New Roman"/>
                <w:b/>
                <w:bCs/>
                <w:sz w:val="24"/>
                <w:szCs w:val="24"/>
              </w:rPr>
            </w:pPr>
          </w:p>
          <w:p w:rsidR="004926FE" w:rsidRDefault="004926FE" w:rsidP="0055464B">
            <w:pPr>
              <w:rPr>
                <w:rFonts w:ascii="Times New Roman" w:hAnsi="Times New Roman"/>
                <w:b/>
                <w:bCs/>
                <w:sz w:val="24"/>
                <w:szCs w:val="24"/>
              </w:rPr>
            </w:pPr>
          </w:p>
          <w:p w:rsidR="004926FE" w:rsidRDefault="004926FE" w:rsidP="0055464B">
            <w:pPr>
              <w:rPr>
                <w:rFonts w:ascii="Times New Roman" w:hAnsi="Times New Roman"/>
                <w:b/>
                <w:bCs/>
                <w:sz w:val="24"/>
                <w:szCs w:val="24"/>
              </w:rPr>
            </w:pPr>
          </w:p>
          <w:p w:rsidR="004926FE" w:rsidRDefault="004926FE" w:rsidP="0055464B">
            <w:pPr>
              <w:rPr>
                <w:rFonts w:ascii="Times New Roman" w:hAnsi="Times New Roman"/>
                <w:b/>
                <w:bCs/>
                <w:sz w:val="24"/>
                <w:szCs w:val="24"/>
              </w:rPr>
            </w:pPr>
          </w:p>
          <w:p w:rsidR="004926FE" w:rsidRDefault="004926FE" w:rsidP="0055464B">
            <w:pPr>
              <w:rPr>
                <w:rFonts w:ascii="Times New Roman" w:hAnsi="Times New Roman"/>
                <w:b/>
                <w:bCs/>
                <w:sz w:val="24"/>
                <w:szCs w:val="24"/>
              </w:rPr>
            </w:pPr>
          </w:p>
          <w:p w:rsidR="00587F65" w:rsidRPr="00806099" w:rsidRDefault="00587F65" w:rsidP="0055464B">
            <w:pPr>
              <w:rPr>
                <w:rFonts w:ascii="Times New Roman" w:hAnsi="Times New Roman"/>
                <w:sz w:val="24"/>
                <w:szCs w:val="24"/>
              </w:rPr>
            </w:pPr>
            <w:r>
              <w:rPr>
                <w:rFonts w:ascii="Times New Roman" w:hAnsi="Times New Roman"/>
                <w:b/>
                <w:bCs/>
                <w:sz w:val="24"/>
                <w:szCs w:val="24"/>
              </w:rPr>
              <w:t xml:space="preserve">Table I: </w:t>
            </w:r>
            <w:r w:rsidRPr="00806099">
              <w:rPr>
                <w:rFonts w:ascii="Times New Roman" w:hAnsi="Times New Roman"/>
                <w:b/>
                <w:bCs/>
                <w:sz w:val="24"/>
                <w:szCs w:val="24"/>
              </w:rPr>
              <w:t>Stock of houses and households by region, 2010</w:t>
            </w:r>
          </w:p>
          <w:tbl>
            <w:tblPr>
              <w:tblStyle w:val="TableGrid"/>
              <w:tblW w:w="9195" w:type="dxa"/>
              <w:tblLayout w:type="fixed"/>
              <w:tblLook w:val="04A0"/>
            </w:tblPr>
            <w:tblGrid>
              <w:gridCol w:w="900"/>
              <w:gridCol w:w="992"/>
              <w:gridCol w:w="10"/>
              <w:gridCol w:w="708"/>
              <w:gridCol w:w="990"/>
              <w:gridCol w:w="1080"/>
              <w:gridCol w:w="678"/>
              <w:gridCol w:w="51"/>
              <w:gridCol w:w="885"/>
              <w:gridCol w:w="69"/>
              <w:gridCol w:w="901"/>
              <w:gridCol w:w="87"/>
              <w:gridCol w:w="841"/>
              <w:gridCol w:w="104"/>
              <w:gridCol w:w="773"/>
              <w:gridCol w:w="126"/>
            </w:tblGrid>
            <w:tr w:rsidR="00587F65" w:rsidRPr="00806099">
              <w:trPr>
                <w:trHeight w:val="2114"/>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Region</w:t>
                  </w:r>
                </w:p>
              </w:tc>
              <w:tc>
                <w:tcPr>
                  <w:tcW w:w="992" w:type="dxa"/>
                </w:tcPr>
                <w:p w:rsidR="00587F65" w:rsidRPr="00012F8A" w:rsidRDefault="00587F65" w:rsidP="0055464B">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Total</w:t>
                  </w:r>
                </w:p>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Population</w:t>
                  </w:r>
                </w:p>
              </w:tc>
              <w:tc>
                <w:tcPr>
                  <w:tcW w:w="718" w:type="dxa"/>
                  <w:gridSpan w:val="2"/>
                </w:tcPr>
                <w:p w:rsidR="00587F65" w:rsidRPr="00012F8A" w:rsidRDefault="00587F65" w:rsidP="0055464B">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 xml:space="preserve">No. </w:t>
                  </w:r>
                  <w:proofErr w:type="gramStart"/>
                  <w:r w:rsidRPr="00012F8A">
                    <w:rPr>
                      <w:rFonts w:ascii="Times New Roman" w:hAnsi="Times New Roman"/>
                      <w:b/>
                      <w:sz w:val="15"/>
                      <w:szCs w:val="15"/>
                    </w:rPr>
                    <w:t>of</w:t>
                  </w:r>
                  <w:proofErr w:type="gramEnd"/>
                </w:p>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Houses</w:t>
                  </w:r>
                </w:p>
              </w:tc>
              <w:tc>
                <w:tcPr>
                  <w:tcW w:w="990" w:type="dxa"/>
                </w:tcPr>
                <w:p w:rsidR="00587F65" w:rsidRPr="00012F8A" w:rsidRDefault="00587F65" w:rsidP="00012F8A">
                  <w:pPr>
                    <w:autoSpaceDE w:val="0"/>
                    <w:autoSpaceDN w:val="0"/>
                    <w:adjustRightInd w:val="0"/>
                    <w:rPr>
                      <w:rFonts w:ascii="Times New Roman" w:hAnsi="Times New Roman"/>
                      <w:b/>
                      <w:sz w:val="15"/>
                      <w:szCs w:val="15"/>
                    </w:rPr>
                  </w:pPr>
                  <w:r w:rsidRPr="00012F8A">
                    <w:rPr>
                      <w:rFonts w:ascii="Times New Roman" w:hAnsi="Times New Roman"/>
                      <w:b/>
                      <w:sz w:val="15"/>
                      <w:szCs w:val="15"/>
                    </w:rPr>
                    <w:t xml:space="preserve">No. </w:t>
                  </w:r>
                  <w:proofErr w:type="gramStart"/>
                  <w:r w:rsidRPr="00012F8A">
                    <w:rPr>
                      <w:rFonts w:ascii="Times New Roman" w:hAnsi="Times New Roman"/>
                      <w:b/>
                      <w:sz w:val="15"/>
                      <w:szCs w:val="15"/>
                    </w:rPr>
                    <w:t>of</w:t>
                  </w:r>
                  <w:proofErr w:type="gramEnd"/>
                </w:p>
                <w:p w:rsidR="00587F65" w:rsidRPr="00012F8A" w:rsidRDefault="00587F65" w:rsidP="00012F8A">
                  <w:pPr>
                    <w:rPr>
                      <w:rFonts w:ascii="Times New Roman" w:hAnsi="Times New Roman"/>
                      <w:b/>
                      <w:sz w:val="15"/>
                      <w:szCs w:val="15"/>
                    </w:rPr>
                  </w:pPr>
                  <w:r w:rsidRPr="00012F8A">
                    <w:rPr>
                      <w:rFonts w:ascii="Times New Roman" w:hAnsi="Times New Roman"/>
                      <w:b/>
                      <w:sz w:val="15"/>
                      <w:szCs w:val="15"/>
                    </w:rPr>
                    <w:t>Households</w:t>
                  </w:r>
                </w:p>
              </w:tc>
              <w:tc>
                <w:tcPr>
                  <w:tcW w:w="1080" w:type="dxa"/>
                </w:tcPr>
                <w:p w:rsidR="00587F65" w:rsidRPr="00012F8A" w:rsidRDefault="00587F65" w:rsidP="00012F8A">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Distribution of</w:t>
                  </w:r>
                </w:p>
                <w:p w:rsidR="00587F65" w:rsidRPr="00012F8A" w:rsidRDefault="00587F65" w:rsidP="00012F8A">
                  <w:pPr>
                    <w:jc w:val="center"/>
                    <w:rPr>
                      <w:rFonts w:ascii="Times New Roman" w:hAnsi="Times New Roman"/>
                      <w:b/>
                      <w:sz w:val="15"/>
                      <w:szCs w:val="15"/>
                    </w:rPr>
                  </w:pPr>
                  <w:r w:rsidRPr="00012F8A">
                    <w:rPr>
                      <w:rFonts w:ascii="Times New Roman" w:hAnsi="Times New Roman"/>
                      <w:b/>
                      <w:sz w:val="15"/>
                      <w:szCs w:val="15"/>
                    </w:rPr>
                    <w:t>Houses (%)</w:t>
                  </w:r>
                </w:p>
              </w:tc>
              <w:tc>
                <w:tcPr>
                  <w:tcW w:w="729" w:type="dxa"/>
                  <w:gridSpan w:val="2"/>
                </w:tcPr>
                <w:p w:rsidR="00587F65" w:rsidRPr="00012F8A" w:rsidRDefault="00587F65" w:rsidP="0055464B">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Rural share of</w:t>
                  </w:r>
                </w:p>
                <w:p w:rsidR="00587F65" w:rsidRPr="00012F8A" w:rsidRDefault="00587F65" w:rsidP="0055464B">
                  <w:pPr>
                    <w:jc w:val="center"/>
                    <w:rPr>
                      <w:rFonts w:ascii="Times New Roman" w:hAnsi="Times New Roman"/>
                      <w:b/>
                      <w:sz w:val="15"/>
                      <w:szCs w:val="15"/>
                    </w:rPr>
                  </w:pPr>
                  <w:proofErr w:type="gramStart"/>
                  <w:r w:rsidRPr="00012F8A">
                    <w:rPr>
                      <w:rFonts w:ascii="Times New Roman" w:hAnsi="Times New Roman"/>
                      <w:b/>
                      <w:sz w:val="15"/>
                      <w:szCs w:val="15"/>
                    </w:rPr>
                    <w:t>housing</w:t>
                  </w:r>
                  <w:proofErr w:type="gramEnd"/>
                  <w:r w:rsidRPr="00012F8A">
                    <w:rPr>
                      <w:rFonts w:ascii="Times New Roman" w:hAnsi="Times New Roman"/>
                      <w:b/>
                      <w:sz w:val="15"/>
                      <w:szCs w:val="15"/>
                    </w:rPr>
                    <w:t xml:space="preserve"> stock</w:t>
                  </w:r>
                </w:p>
              </w:tc>
              <w:tc>
                <w:tcPr>
                  <w:tcW w:w="954" w:type="dxa"/>
                  <w:gridSpan w:val="2"/>
                </w:tcPr>
                <w:p w:rsidR="00587F65" w:rsidRPr="00012F8A" w:rsidRDefault="00587F65" w:rsidP="0055464B">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w:t>
                  </w:r>
                </w:p>
                <w:p w:rsidR="00587F65" w:rsidRPr="00012F8A" w:rsidRDefault="00587F65" w:rsidP="0055464B">
                  <w:pPr>
                    <w:autoSpaceDE w:val="0"/>
                    <w:autoSpaceDN w:val="0"/>
                    <w:adjustRightInd w:val="0"/>
                    <w:jc w:val="center"/>
                    <w:rPr>
                      <w:rFonts w:ascii="Times New Roman" w:hAnsi="Times New Roman"/>
                      <w:b/>
                      <w:sz w:val="15"/>
                      <w:szCs w:val="15"/>
                    </w:rPr>
                  </w:pPr>
                  <w:proofErr w:type="gramStart"/>
                  <w:r w:rsidRPr="00012F8A">
                    <w:rPr>
                      <w:rFonts w:ascii="Times New Roman" w:hAnsi="Times New Roman"/>
                      <w:b/>
                      <w:sz w:val="15"/>
                      <w:szCs w:val="15"/>
                    </w:rPr>
                    <w:t>increase</w:t>
                  </w:r>
                  <w:proofErr w:type="gramEnd"/>
                  <w:r w:rsidRPr="00012F8A">
                    <w:rPr>
                      <w:rFonts w:ascii="Times New Roman" w:hAnsi="Times New Roman"/>
                      <w:b/>
                      <w:sz w:val="15"/>
                      <w:szCs w:val="15"/>
                    </w:rPr>
                    <w:t xml:space="preserve"> in</w:t>
                  </w:r>
                </w:p>
                <w:p w:rsidR="00587F65" w:rsidRPr="00012F8A" w:rsidRDefault="00587F65" w:rsidP="0055464B">
                  <w:pPr>
                    <w:autoSpaceDE w:val="0"/>
                    <w:autoSpaceDN w:val="0"/>
                    <w:adjustRightInd w:val="0"/>
                    <w:jc w:val="center"/>
                    <w:rPr>
                      <w:rFonts w:ascii="Times New Roman" w:hAnsi="Times New Roman"/>
                      <w:b/>
                      <w:sz w:val="15"/>
                      <w:szCs w:val="15"/>
                    </w:rPr>
                  </w:pPr>
                  <w:proofErr w:type="gramStart"/>
                  <w:r w:rsidRPr="00012F8A">
                    <w:rPr>
                      <w:rFonts w:ascii="Times New Roman" w:hAnsi="Times New Roman"/>
                      <w:b/>
                      <w:sz w:val="15"/>
                      <w:szCs w:val="15"/>
                    </w:rPr>
                    <w:t>housing</w:t>
                  </w:r>
                  <w:proofErr w:type="gramEnd"/>
                  <w:r w:rsidRPr="00012F8A">
                    <w:rPr>
                      <w:rFonts w:ascii="Times New Roman" w:hAnsi="Times New Roman"/>
                      <w:b/>
                      <w:sz w:val="15"/>
                      <w:szCs w:val="15"/>
                    </w:rPr>
                    <w:t xml:space="preserve"> stock</w:t>
                  </w:r>
                </w:p>
                <w:p w:rsidR="00587F65" w:rsidRPr="00012F8A" w:rsidRDefault="00587F65" w:rsidP="0055464B">
                  <w:pPr>
                    <w:jc w:val="center"/>
                    <w:rPr>
                      <w:rFonts w:ascii="Times New Roman" w:hAnsi="Times New Roman"/>
                      <w:b/>
                      <w:sz w:val="15"/>
                      <w:szCs w:val="15"/>
                    </w:rPr>
                  </w:pPr>
                  <w:proofErr w:type="gramStart"/>
                  <w:r w:rsidRPr="00012F8A">
                    <w:rPr>
                      <w:rFonts w:ascii="Times New Roman" w:hAnsi="Times New Roman"/>
                      <w:b/>
                      <w:sz w:val="15"/>
                      <w:szCs w:val="15"/>
                    </w:rPr>
                    <w:t>over</w:t>
                  </w:r>
                  <w:proofErr w:type="gramEnd"/>
                  <w:r w:rsidRPr="00012F8A">
                    <w:rPr>
                      <w:rFonts w:ascii="Times New Roman" w:hAnsi="Times New Roman"/>
                      <w:b/>
                      <w:sz w:val="15"/>
                      <w:szCs w:val="15"/>
                    </w:rPr>
                    <w:t xml:space="preserve"> 2000</w:t>
                  </w:r>
                </w:p>
              </w:tc>
              <w:tc>
                <w:tcPr>
                  <w:tcW w:w="988" w:type="dxa"/>
                  <w:gridSpan w:val="2"/>
                </w:tcPr>
                <w:p w:rsidR="00587F65" w:rsidRPr="00012F8A" w:rsidRDefault="00587F65" w:rsidP="0055464B">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Households</w:t>
                  </w:r>
                </w:p>
                <w:p w:rsidR="00587F65" w:rsidRPr="00012F8A" w:rsidRDefault="00587F65" w:rsidP="0055464B">
                  <w:pPr>
                    <w:jc w:val="center"/>
                    <w:rPr>
                      <w:rFonts w:ascii="Times New Roman" w:hAnsi="Times New Roman"/>
                      <w:b/>
                      <w:sz w:val="15"/>
                      <w:szCs w:val="15"/>
                    </w:rPr>
                  </w:pPr>
                  <w:proofErr w:type="gramStart"/>
                  <w:r w:rsidRPr="00012F8A">
                    <w:rPr>
                      <w:rFonts w:ascii="Times New Roman" w:hAnsi="Times New Roman"/>
                      <w:b/>
                      <w:sz w:val="15"/>
                      <w:szCs w:val="15"/>
                    </w:rPr>
                    <w:t>per</w:t>
                  </w:r>
                  <w:proofErr w:type="gramEnd"/>
                  <w:r w:rsidRPr="00012F8A">
                    <w:rPr>
                      <w:rFonts w:ascii="Times New Roman" w:hAnsi="Times New Roman"/>
                      <w:b/>
                      <w:sz w:val="15"/>
                      <w:szCs w:val="15"/>
                    </w:rPr>
                    <w:t xml:space="preserve"> house</w:t>
                  </w:r>
                </w:p>
              </w:tc>
              <w:tc>
                <w:tcPr>
                  <w:tcW w:w="945" w:type="dxa"/>
                  <w:gridSpan w:val="2"/>
                </w:tcPr>
                <w:p w:rsidR="00587F65" w:rsidRPr="00012F8A" w:rsidRDefault="00587F65" w:rsidP="0055464B">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Population</w:t>
                  </w:r>
                </w:p>
                <w:p w:rsidR="00587F65" w:rsidRPr="00012F8A" w:rsidRDefault="00587F65" w:rsidP="0055464B">
                  <w:pPr>
                    <w:jc w:val="center"/>
                    <w:rPr>
                      <w:rFonts w:ascii="Times New Roman" w:hAnsi="Times New Roman"/>
                      <w:b/>
                      <w:sz w:val="15"/>
                      <w:szCs w:val="15"/>
                    </w:rPr>
                  </w:pPr>
                  <w:proofErr w:type="gramStart"/>
                  <w:r w:rsidRPr="00012F8A">
                    <w:rPr>
                      <w:rFonts w:ascii="Times New Roman" w:hAnsi="Times New Roman"/>
                      <w:b/>
                      <w:sz w:val="15"/>
                      <w:szCs w:val="15"/>
                    </w:rPr>
                    <w:t>per</w:t>
                  </w:r>
                  <w:proofErr w:type="gramEnd"/>
                  <w:r w:rsidRPr="00012F8A">
                    <w:rPr>
                      <w:rFonts w:ascii="Times New Roman" w:hAnsi="Times New Roman"/>
                      <w:b/>
                      <w:sz w:val="15"/>
                      <w:szCs w:val="15"/>
                    </w:rPr>
                    <w:t xml:space="preserve"> house</w:t>
                  </w:r>
                </w:p>
              </w:tc>
              <w:tc>
                <w:tcPr>
                  <w:tcW w:w="899" w:type="dxa"/>
                  <w:gridSpan w:val="2"/>
                </w:tcPr>
                <w:p w:rsidR="00587F65" w:rsidRPr="00012F8A" w:rsidRDefault="00587F65" w:rsidP="0055464B">
                  <w:pPr>
                    <w:autoSpaceDE w:val="0"/>
                    <w:autoSpaceDN w:val="0"/>
                    <w:adjustRightInd w:val="0"/>
                    <w:jc w:val="center"/>
                    <w:rPr>
                      <w:rFonts w:ascii="Times New Roman" w:hAnsi="Times New Roman"/>
                      <w:b/>
                      <w:sz w:val="15"/>
                      <w:szCs w:val="15"/>
                    </w:rPr>
                  </w:pPr>
                  <w:r w:rsidRPr="00012F8A">
                    <w:rPr>
                      <w:rFonts w:ascii="Times New Roman" w:hAnsi="Times New Roman"/>
                      <w:b/>
                      <w:sz w:val="15"/>
                      <w:szCs w:val="15"/>
                    </w:rPr>
                    <w:t>Average</w:t>
                  </w:r>
                </w:p>
                <w:p w:rsidR="00587F65" w:rsidRPr="00012F8A" w:rsidRDefault="00587F65" w:rsidP="0055464B">
                  <w:pPr>
                    <w:autoSpaceDE w:val="0"/>
                    <w:autoSpaceDN w:val="0"/>
                    <w:adjustRightInd w:val="0"/>
                    <w:jc w:val="center"/>
                    <w:rPr>
                      <w:rFonts w:ascii="Times New Roman" w:hAnsi="Times New Roman"/>
                      <w:b/>
                      <w:sz w:val="15"/>
                      <w:szCs w:val="15"/>
                    </w:rPr>
                  </w:pPr>
                  <w:proofErr w:type="gramStart"/>
                  <w:r w:rsidRPr="00012F8A">
                    <w:rPr>
                      <w:rFonts w:ascii="Times New Roman" w:hAnsi="Times New Roman"/>
                      <w:b/>
                      <w:sz w:val="15"/>
                      <w:szCs w:val="15"/>
                    </w:rPr>
                    <w:t>household</w:t>
                  </w:r>
                  <w:proofErr w:type="gramEnd"/>
                </w:p>
                <w:p w:rsidR="00587F65" w:rsidRPr="00012F8A" w:rsidRDefault="00587F65" w:rsidP="0055464B">
                  <w:pPr>
                    <w:jc w:val="center"/>
                    <w:rPr>
                      <w:rFonts w:ascii="Times New Roman" w:hAnsi="Times New Roman"/>
                      <w:b/>
                      <w:sz w:val="15"/>
                      <w:szCs w:val="15"/>
                    </w:rPr>
                  </w:pPr>
                  <w:proofErr w:type="gramStart"/>
                  <w:r w:rsidRPr="00012F8A">
                    <w:rPr>
                      <w:rFonts w:ascii="Times New Roman" w:hAnsi="Times New Roman"/>
                      <w:b/>
                      <w:sz w:val="15"/>
                      <w:szCs w:val="15"/>
                    </w:rPr>
                    <w:t>size</w:t>
                  </w:r>
                  <w:proofErr w:type="gramEnd"/>
                </w:p>
              </w:tc>
            </w:tr>
            <w:tr w:rsidR="00587F65" w:rsidRPr="00806099">
              <w:trPr>
                <w:gridAfter w:val="1"/>
                <w:wAfter w:w="126" w:type="dxa"/>
                <w:trHeight w:val="722"/>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All Regions</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24,658,823</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3,392,745</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5,467,136</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100.0</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57.7</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60.1</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1.6</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7.3</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b/>
                      <w:bCs/>
                      <w:sz w:val="15"/>
                      <w:szCs w:val="15"/>
                    </w:rPr>
                    <w:t>4.4</w:t>
                  </w:r>
                </w:p>
              </w:tc>
            </w:tr>
            <w:tr w:rsidR="00587F65" w:rsidRPr="00806099">
              <w:trPr>
                <w:gridAfter w:val="1"/>
                <w:wAfter w:w="126" w:type="dxa"/>
                <w:trHeight w:val="265"/>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Western</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2,376,021</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380,104</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553,635</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11.2</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67.5</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51.4</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1.5</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6.3</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4.2</w:t>
                  </w:r>
                </w:p>
              </w:tc>
            </w:tr>
            <w:tr w:rsidR="00587F65" w:rsidRPr="00806099">
              <w:trPr>
                <w:gridAfter w:val="1"/>
                <w:wAfter w:w="126" w:type="dxa"/>
                <w:trHeight w:val="265"/>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Central</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2,201,863</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346,699</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526,764</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10.2</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61.8</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60.8</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1.5</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6.4</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4.0</w:t>
                  </w:r>
                </w:p>
              </w:tc>
            </w:tr>
            <w:tr w:rsidR="00587F65" w:rsidRPr="00806099">
              <w:trPr>
                <w:gridAfter w:val="1"/>
                <w:wAfter w:w="126" w:type="dxa"/>
                <w:trHeight w:val="281"/>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Greater Accra</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4,010,054</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474,621</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1,036,426</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14.0</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13.0</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73.4</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2.2</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8.4</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3.8</w:t>
                  </w:r>
                </w:p>
              </w:tc>
            </w:tr>
            <w:tr w:rsidR="00587F65" w:rsidRPr="00806099">
              <w:trPr>
                <w:gridAfter w:val="1"/>
                <w:wAfter w:w="126" w:type="dxa"/>
                <w:trHeight w:val="281"/>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Volta</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2,118,252</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399,953</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495,603</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11.8</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72.2</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53.8</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1.2</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5.3</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4.2</w:t>
                  </w:r>
                </w:p>
              </w:tc>
            </w:tr>
            <w:tr w:rsidR="00587F65" w:rsidRPr="00806099">
              <w:trPr>
                <w:gridAfter w:val="1"/>
                <w:wAfter w:w="126" w:type="dxa"/>
                <w:trHeight w:val="281"/>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Eastern</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2,633,154</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431,697</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632,048</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12.7</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64.1</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54.1</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1.5</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6.1</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4.1</w:t>
                  </w:r>
                </w:p>
              </w:tc>
            </w:tr>
            <w:tr w:rsidR="00587F65" w:rsidRPr="00806099">
              <w:trPr>
                <w:gridAfter w:val="1"/>
                <w:wAfter w:w="126" w:type="dxa"/>
                <w:trHeight w:val="265"/>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Ashanti</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4,780,380</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574,066</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1,126,216</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16.9</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53.0</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81.9</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2.0</w:t>
                  </w:r>
                </w:p>
              </w:tc>
              <w:tc>
                <w:tcPr>
                  <w:tcW w:w="928" w:type="dxa"/>
                  <w:gridSpan w:val="2"/>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8.3</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4.1</w:t>
                  </w:r>
                </w:p>
              </w:tc>
            </w:tr>
            <w:tr w:rsidR="00587F65" w:rsidRPr="00806099">
              <w:trPr>
                <w:gridAfter w:val="1"/>
                <w:wAfter w:w="126" w:type="dxa"/>
                <w:trHeight w:val="265"/>
              </w:trPr>
              <w:tc>
                <w:tcPr>
                  <w:tcW w:w="900" w:type="dxa"/>
                </w:tcPr>
                <w:p w:rsidR="00587F65" w:rsidRPr="00012F8A" w:rsidRDefault="00587F65" w:rsidP="0055464B">
                  <w:pPr>
                    <w:jc w:val="center"/>
                    <w:rPr>
                      <w:rFonts w:ascii="Times New Roman" w:hAnsi="Times New Roman"/>
                      <w:b/>
                      <w:sz w:val="15"/>
                      <w:szCs w:val="15"/>
                    </w:rPr>
                  </w:pPr>
                  <w:proofErr w:type="spellStart"/>
                  <w:r w:rsidRPr="00012F8A">
                    <w:rPr>
                      <w:rFonts w:ascii="Times New Roman" w:hAnsi="Times New Roman"/>
                      <w:b/>
                      <w:sz w:val="15"/>
                      <w:szCs w:val="15"/>
                    </w:rPr>
                    <w:t>Brong</w:t>
                  </w:r>
                  <w:proofErr w:type="spellEnd"/>
                  <w:r w:rsidRPr="00012F8A">
                    <w:rPr>
                      <w:rFonts w:ascii="Times New Roman" w:hAnsi="Times New Roman"/>
                      <w:b/>
                      <w:sz w:val="15"/>
                      <w:szCs w:val="15"/>
                    </w:rPr>
                    <w:t xml:space="preserve"> </w:t>
                  </w:r>
                  <w:proofErr w:type="spellStart"/>
                  <w:r w:rsidRPr="00012F8A">
                    <w:rPr>
                      <w:rFonts w:ascii="Times New Roman" w:hAnsi="Times New Roman"/>
                      <w:b/>
                      <w:sz w:val="15"/>
                      <w:szCs w:val="15"/>
                    </w:rPr>
                    <w:t>Ahafo</w:t>
                  </w:r>
                  <w:proofErr w:type="spellEnd"/>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2,310,983</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331,967</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490,519</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9.8</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63.4</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56.8</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1.5</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7.0</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4.6</w:t>
                  </w:r>
                </w:p>
              </w:tc>
            </w:tr>
            <w:tr w:rsidR="00587F65" w:rsidRPr="00806099">
              <w:trPr>
                <w:gridAfter w:val="1"/>
                <w:wAfter w:w="126" w:type="dxa"/>
                <w:trHeight w:val="265"/>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Northern</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2,479,461</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257,311</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318,119</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7.6</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71.3</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47.5</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1.2</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9.6</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7.7</w:t>
                  </w:r>
                </w:p>
              </w:tc>
            </w:tr>
            <w:tr w:rsidR="00587F65" w:rsidRPr="00806099">
              <w:trPr>
                <w:gridAfter w:val="1"/>
                <w:wAfter w:w="126" w:type="dxa"/>
                <w:trHeight w:val="281"/>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Upper East</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1,046,545</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114,034</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177,631</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3.4</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79.2</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30.4</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1.6</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9.2</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5.8</w:t>
                  </w:r>
                </w:p>
              </w:tc>
            </w:tr>
            <w:tr w:rsidR="00587F65" w:rsidRPr="00806099">
              <w:trPr>
                <w:gridAfter w:val="1"/>
                <w:wAfter w:w="126" w:type="dxa"/>
                <w:trHeight w:val="296"/>
              </w:trPr>
              <w:tc>
                <w:tcPr>
                  <w:tcW w:w="900" w:type="dxa"/>
                </w:tcPr>
                <w:p w:rsidR="00587F65" w:rsidRPr="00012F8A" w:rsidRDefault="00587F65" w:rsidP="0055464B">
                  <w:pPr>
                    <w:jc w:val="center"/>
                    <w:rPr>
                      <w:rFonts w:ascii="Times New Roman" w:hAnsi="Times New Roman"/>
                      <w:b/>
                      <w:sz w:val="15"/>
                      <w:szCs w:val="15"/>
                    </w:rPr>
                  </w:pPr>
                  <w:r w:rsidRPr="00012F8A">
                    <w:rPr>
                      <w:rFonts w:ascii="Times New Roman" w:hAnsi="Times New Roman"/>
                      <w:b/>
                      <w:sz w:val="15"/>
                      <w:szCs w:val="15"/>
                    </w:rPr>
                    <w:t>Upper West</w:t>
                  </w:r>
                </w:p>
              </w:tc>
              <w:tc>
                <w:tcPr>
                  <w:tcW w:w="1002"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702,110</w:t>
                  </w:r>
                </w:p>
              </w:tc>
              <w:tc>
                <w:tcPr>
                  <w:tcW w:w="70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82,293</w:t>
                  </w:r>
                </w:p>
              </w:tc>
              <w:tc>
                <w:tcPr>
                  <w:tcW w:w="99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110,175</w:t>
                  </w:r>
                </w:p>
              </w:tc>
              <w:tc>
                <w:tcPr>
                  <w:tcW w:w="1080"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2.4</w:t>
                  </w:r>
                </w:p>
              </w:tc>
              <w:tc>
                <w:tcPr>
                  <w:tcW w:w="678" w:type="dxa"/>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85.4</w:t>
                  </w:r>
                </w:p>
              </w:tc>
              <w:tc>
                <w:tcPr>
                  <w:tcW w:w="936"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62.3</w:t>
                  </w:r>
                </w:p>
              </w:tc>
              <w:tc>
                <w:tcPr>
                  <w:tcW w:w="970"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1.3 8.5</w:t>
                  </w:r>
                </w:p>
              </w:tc>
              <w:tc>
                <w:tcPr>
                  <w:tcW w:w="928"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8.5</w:t>
                  </w:r>
                </w:p>
              </w:tc>
              <w:tc>
                <w:tcPr>
                  <w:tcW w:w="877" w:type="dxa"/>
                  <w:gridSpan w:val="2"/>
                </w:tcPr>
                <w:p w:rsidR="00587F65" w:rsidRPr="00012F8A" w:rsidRDefault="00587F65" w:rsidP="0055464B">
                  <w:pPr>
                    <w:jc w:val="center"/>
                    <w:rPr>
                      <w:rFonts w:ascii="Times New Roman" w:hAnsi="Times New Roman"/>
                      <w:sz w:val="15"/>
                      <w:szCs w:val="15"/>
                    </w:rPr>
                  </w:pPr>
                  <w:r w:rsidRPr="00012F8A">
                    <w:rPr>
                      <w:rFonts w:ascii="Times New Roman" w:hAnsi="Times New Roman"/>
                      <w:sz w:val="15"/>
                      <w:szCs w:val="15"/>
                    </w:rPr>
                    <w:t>6.2</w:t>
                  </w:r>
                </w:p>
              </w:tc>
            </w:tr>
          </w:tbl>
          <w:p w:rsidR="00587F65" w:rsidRPr="00155196" w:rsidRDefault="00587F65" w:rsidP="0055464B">
            <w:pPr>
              <w:rPr>
                <w:rFonts w:ascii="Times New Roman" w:hAnsi="Times New Roman"/>
                <w:b/>
                <w:sz w:val="20"/>
                <w:szCs w:val="20"/>
              </w:rPr>
            </w:pPr>
            <w:r w:rsidRPr="00155196">
              <w:rPr>
                <w:rFonts w:ascii="Times New Roman" w:hAnsi="Times New Roman"/>
                <w:b/>
                <w:sz w:val="20"/>
                <w:szCs w:val="20"/>
              </w:rPr>
              <w:t>Source: 2010 Housing and Population Census</w:t>
            </w: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r w:rsidRPr="00806099">
              <w:rPr>
                <w:rFonts w:ascii="Times New Roman" w:eastAsiaTheme="minorHAnsi" w:hAnsi="Times New Roman"/>
                <w:sz w:val="24"/>
                <w:szCs w:val="24"/>
              </w:rPr>
              <w:t xml:space="preserve">Table </w:t>
            </w:r>
            <w:r>
              <w:rPr>
                <w:rFonts w:ascii="Times New Roman" w:eastAsiaTheme="minorHAnsi" w:hAnsi="Times New Roman"/>
                <w:sz w:val="24"/>
                <w:szCs w:val="24"/>
              </w:rPr>
              <w:t xml:space="preserve">I </w:t>
            </w:r>
            <w:r w:rsidRPr="00806099">
              <w:rPr>
                <w:rFonts w:ascii="Times New Roman" w:eastAsiaTheme="minorHAnsi" w:hAnsi="Times New Roman"/>
                <w:sz w:val="24"/>
                <w:szCs w:val="24"/>
              </w:rPr>
              <w:t>indicates that the total stock of houses in the country is 3,392,745. The proportion of houses in rural areas (57.7%) is higher than those in urban areas (42.3%). The data further show that the stock of houses increased by 60.1 percent compared with the figure recorded in the year 2000. The regional distribution shows that Ashanti (16.9%) has the highest</w:t>
            </w: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p</w:t>
            </w:r>
            <w:r w:rsidRPr="00806099">
              <w:rPr>
                <w:rFonts w:ascii="Times New Roman" w:eastAsiaTheme="minorHAnsi" w:hAnsi="Times New Roman"/>
                <w:sz w:val="24"/>
                <w:szCs w:val="24"/>
              </w:rPr>
              <w:t>roportion</w:t>
            </w:r>
            <w:proofErr w:type="gramEnd"/>
            <w:r w:rsidRPr="00806099">
              <w:rPr>
                <w:rFonts w:ascii="Times New Roman" w:eastAsiaTheme="minorHAnsi" w:hAnsi="Times New Roman"/>
                <w:sz w:val="24"/>
                <w:szCs w:val="24"/>
              </w:rPr>
              <w:t xml:space="preserve"> of houses – this may be attributed to many factors such as ready markets, followed by Greater Accra (14.0%) and Eastern (12.7%) regions. The Upper West region has the lowest proportion of the housing stock (2.4%). Compared with the 2000 Census data, there are marked differences in the percentage change in housing stock across regions. The increase is highest in Ashanti (81.9%) and lowest in Upper East (30.4%).</w:t>
            </w: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r w:rsidRPr="00806099">
              <w:rPr>
                <w:rFonts w:ascii="Times New Roman" w:eastAsiaTheme="minorHAnsi" w:hAnsi="Times New Roman"/>
                <w:sz w:val="24"/>
                <w:szCs w:val="24"/>
              </w:rPr>
              <w:t>The population per house is 7.3 and ranges from a low of 5.3 in the Volta region to a high of</w:t>
            </w:r>
          </w:p>
          <w:p w:rsidR="00587F65" w:rsidRPr="00806099" w:rsidRDefault="00587F65" w:rsidP="0055464B">
            <w:pPr>
              <w:autoSpaceDE w:val="0"/>
              <w:autoSpaceDN w:val="0"/>
              <w:adjustRightInd w:val="0"/>
              <w:spacing w:after="0" w:line="240" w:lineRule="auto"/>
              <w:jc w:val="both"/>
              <w:rPr>
                <w:rFonts w:ascii="Times New Roman" w:eastAsiaTheme="minorHAnsi" w:hAnsi="Times New Roman"/>
                <w:sz w:val="24"/>
                <w:szCs w:val="24"/>
              </w:rPr>
            </w:pPr>
            <w:r w:rsidRPr="00806099">
              <w:rPr>
                <w:rFonts w:ascii="Times New Roman" w:eastAsiaTheme="minorHAnsi" w:hAnsi="Times New Roman"/>
                <w:sz w:val="24"/>
                <w:szCs w:val="24"/>
              </w:rPr>
              <w:t>9.6 in the Northern region. Generally, there was a reduction in the population per house from</w:t>
            </w:r>
          </w:p>
          <w:p w:rsidR="00587F65" w:rsidRPr="00806099" w:rsidRDefault="00587F65" w:rsidP="0055464B">
            <w:pPr>
              <w:jc w:val="both"/>
              <w:rPr>
                <w:rFonts w:ascii="Times New Roman" w:hAnsi="Times New Roman"/>
                <w:b/>
                <w:sz w:val="24"/>
                <w:szCs w:val="24"/>
              </w:rPr>
            </w:pPr>
            <w:r w:rsidRPr="00806099">
              <w:rPr>
                <w:rFonts w:ascii="Times New Roman" w:eastAsiaTheme="minorHAnsi" w:hAnsi="Times New Roman"/>
                <w:sz w:val="24"/>
                <w:szCs w:val="24"/>
              </w:rPr>
              <w:t>8.7 to 7.3 between 2000 and 2010.</w:t>
            </w:r>
          </w:p>
          <w:p w:rsidR="00587F65" w:rsidRPr="00806099" w:rsidRDefault="00587F65" w:rsidP="0055464B">
            <w:pPr>
              <w:rPr>
                <w:rFonts w:ascii="Times New Roman" w:hAnsi="Times New Roman"/>
                <w:b/>
                <w:sz w:val="24"/>
                <w:szCs w:val="24"/>
              </w:rPr>
            </w:pPr>
            <w:r>
              <w:rPr>
                <w:rFonts w:ascii="Times New Roman" w:hAnsi="Times New Roman"/>
                <w:b/>
                <w:sz w:val="24"/>
                <w:szCs w:val="24"/>
              </w:rPr>
              <w:t xml:space="preserve">Table II: </w:t>
            </w:r>
            <w:r w:rsidRPr="00806099">
              <w:rPr>
                <w:rFonts w:ascii="Times New Roman" w:hAnsi="Times New Roman"/>
                <w:b/>
                <w:sz w:val="24"/>
                <w:szCs w:val="24"/>
              </w:rPr>
              <w:t>EXTRACT CENSUS 2010: ASHANTI REGIONAL HOUSING CHARACTERISTICS</w:t>
            </w:r>
          </w:p>
          <w:tbl>
            <w:tblPr>
              <w:tblStyle w:val="TableGrid"/>
              <w:tblW w:w="0" w:type="auto"/>
              <w:tblLayout w:type="fixed"/>
              <w:tblLook w:val="04A0"/>
            </w:tblPr>
            <w:tblGrid>
              <w:gridCol w:w="3192"/>
              <w:gridCol w:w="2316"/>
              <w:gridCol w:w="2880"/>
            </w:tblGrid>
            <w:tr w:rsidR="00587F65" w:rsidRPr="00806099">
              <w:tc>
                <w:tcPr>
                  <w:tcW w:w="3192" w:type="dxa"/>
                </w:tcPr>
                <w:p w:rsidR="00587F65" w:rsidRPr="00806099" w:rsidRDefault="00587F65" w:rsidP="0055464B">
                  <w:pPr>
                    <w:rPr>
                      <w:rFonts w:ascii="Times New Roman" w:hAnsi="Times New Roman"/>
                      <w:b/>
                      <w:sz w:val="24"/>
                      <w:szCs w:val="24"/>
                    </w:rPr>
                  </w:pPr>
                  <w:r w:rsidRPr="00806099">
                    <w:rPr>
                      <w:rFonts w:ascii="Times New Roman" w:hAnsi="Times New Roman"/>
                      <w:b/>
                      <w:sz w:val="24"/>
                      <w:szCs w:val="24"/>
                    </w:rPr>
                    <w:t>Type of dwelling</w:t>
                  </w:r>
                </w:p>
              </w:tc>
              <w:tc>
                <w:tcPr>
                  <w:tcW w:w="2316" w:type="dxa"/>
                </w:tcPr>
                <w:p w:rsidR="00587F65" w:rsidRPr="00806099" w:rsidRDefault="00587F65" w:rsidP="0055464B">
                  <w:pPr>
                    <w:rPr>
                      <w:rFonts w:ascii="Times New Roman" w:hAnsi="Times New Roman"/>
                      <w:b/>
                      <w:sz w:val="24"/>
                      <w:szCs w:val="24"/>
                    </w:rPr>
                  </w:pPr>
                  <w:r w:rsidRPr="00806099">
                    <w:rPr>
                      <w:rFonts w:ascii="Times New Roman" w:hAnsi="Times New Roman"/>
                      <w:b/>
                      <w:sz w:val="24"/>
                      <w:szCs w:val="24"/>
                    </w:rPr>
                    <w:t>Number</w:t>
                  </w:r>
                </w:p>
              </w:tc>
              <w:tc>
                <w:tcPr>
                  <w:tcW w:w="2880" w:type="dxa"/>
                </w:tcPr>
                <w:p w:rsidR="00587F65" w:rsidRPr="00806099" w:rsidRDefault="00587F65" w:rsidP="0055464B">
                  <w:pPr>
                    <w:rPr>
                      <w:rFonts w:ascii="Times New Roman" w:hAnsi="Times New Roman"/>
                      <w:b/>
                      <w:sz w:val="24"/>
                      <w:szCs w:val="24"/>
                    </w:rPr>
                  </w:pPr>
                  <w:r w:rsidRPr="00806099">
                    <w:rPr>
                      <w:rFonts w:ascii="Times New Roman" w:hAnsi="Times New Roman"/>
                      <w:b/>
                      <w:sz w:val="24"/>
                      <w:szCs w:val="24"/>
                    </w:rPr>
                    <w:t>Percentage of dwelling units</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Separate house</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289,053</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24.7%</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Semi-detached</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92,150</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7.9%</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Flat /Apartment</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93,513</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8.0%</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Compound house</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610,164</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52.2%</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Huts/Buildings</w:t>
                  </w:r>
                  <w:r>
                    <w:rPr>
                      <w:rFonts w:ascii="Times New Roman" w:hAnsi="Times New Roman"/>
                      <w:sz w:val="24"/>
                      <w:szCs w:val="24"/>
                    </w:rPr>
                    <w:t xml:space="preserve"> </w:t>
                  </w:r>
                  <w:r w:rsidRPr="00806099">
                    <w:rPr>
                      <w:rFonts w:ascii="Times New Roman" w:hAnsi="Times New Roman"/>
                      <w:sz w:val="24"/>
                      <w:szCs w:val="24"/>
                    </w:rPr>
                    <w:t>(same compound)</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23,888</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2.0%</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Huts/Buildings</w:t>
                  </w:r>
                  <w:r>
                    <w:rPr>
                      <w:rFonts w:ascii="Times New Roman" w:hAnsi="Times New Roman"/>
                      <w:sz w:val="24"/>
                      <w:szCs w:val="24"/>
                    </w:rPr>
                    <w:t xml:space="preserve"> </w:t>
                  </w:r>
                  <w:r w:rsidRPr="00806099">
                    <w:rPr>
                      <w:rFonts w:ascii="Times New Roman" w:hAnsi="Times New Roman"/>
                      <w:sz w:val="24"/>
                      <w:szCs w:val="24"/>
                    </w:rPr>
                    <w:t>(different compound)</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4,721</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0.4%</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Tent</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1,905</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0.2%</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Improvised home</w:t>
                  </w:r>
                  <w:r>
                    <w:rPr>
                      <w:rFonts w:ascii="Times New Roman" w:hAnsi="Times New Roman"/>
                      <w:sz w:val="24"/>
                      <w:szCs w:val="24"/>
                    </w:rPr>
                    <w:t xml:space="preserve"> </w:t>
                  </w:r>
                  <w:r w:rsidRPr="00806099">
                    <w:rPr>
                      <w:rFonts w:ascii="Times New Roman" w:hAnsi="Times New Roman"/>
                      <w:sz w:val="24"/>
                      <w:szCs w:val="24"/>
                    </w:rPr>
                    <w:t>(kiosk, container)</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18,219</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1.6%</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Living quarters attached to office/shop</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4,158</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0.4%</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Uncompleted buildings</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28,938</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2.5%</w:t>
                  </w:r>
                </w:p>
              </w:tc>
            </w:tr>
            <w:tr w:rsidR="00587F65" w:rsidRPr="00806099">
              <w:tc>
                <w:tcPr>
                  <w:tcW w:w="3192"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 xml:space="preserve">Other </w:t>
                  </w:r>
                </w:p>
              </w:tc>
              <w:tc>
                <w:tcPr>
                  <w:tcW w:w="2316"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2,321</w:t>
                  </w:r>
                </w:p>
              </w:tc>
              <w:tc>
                <w:tcPr>
                  <w:tcW w:w="2880" w:type="dxa"/>
                </w:tcPr>
                <w:p w:rsidR="00587F65" w:rsidRPr="00806099" w:rsidRDefault="00587F65" w:rsidP="0055464B">
                  <w:pPr>
                    <w:rPr>
                      <w:rFonts w:ascii="Times New Roman" w:hAnsi="Times New Roman"/>
                      <w:sz w:val="24"/>
                      <w:szCs w:val="24"/>
                    </w:rPr>
                  </w:pPr>
                  <w:r w:rsidRPr="00806099">
                    <w:rPr>
                      <w:rFonts w:ascii="Times New Roman" w:hAnsi="Times New Roman"/>
                      <w:sz w:val="24"/>
                      <w:szCs w:val="24"/>
                    </w:rPr>
                    <w:t>0.2%</w:t>
                  </w:r>
                </w:p>
              </w:tc>
            </w:tr>
            <w:tr w:rsidR="00587F65" w:rsidRPr="00806099">
              <w:tc>
                <w:tcPr>
                  <w:tcW w:w="3192" w:type="dxa"/>
                </w:tcPr>
                <w:p w:rsidR="00587F65" w:rsidRPr="00806099" w:rsidRDefault="00587F65" w:rsidP="0055464B">
                  <w:pPr>
                    <w:rPr>
                      <w:rFonts w:ascii="Times New Roman" w:hAnsi="Times New Roman"/>
                      <w:b/>
                      <w:sz w:val="24"/>
                      <w:szCs w:val="24"/>
                    </w:rPr>
                  </w:pPr>
                  <w:r w:rsidRPr="00806099">
                    <w:rPr>
                      <w:rFonts w:ascii="Times New Roman" w:hAnsi="Times New Roman"/>
                      <w:b/>
                      <w:sz w:val="24"/>
                      <w:szCs w:val="24"/>
                    </w:rPr>
                    <w:t xml:space="preserve">Total </w:t>
                  </w:r>
                </w:p>
              </w:tc>
              <w:tc>
                <w:tcPr>
                  <w:tcW w:w="2316" w:type="dxa"/>
                </w:tcPr>
                <w:p w:rsidR="00587F65" w:rsidRPr="00806099" w:rsidRDefault="00587F65" w:rsidP="0055464B">
                  <w:pPr>
                    <w:rPr>
                      <w:rFonts w:ascii="Times New Roman" w:hAnsi="Times New Roman"/>
                      <w:b/>
                      <w:sz w:val="24"/>
                      <w:szCs w:val="24"/>
                    </w:rPr>
                  </w:pPr>
                  <w:r w:rsidRPr="00806099">
                    <w:rPr>
                      <w:rFonts w:ascii="Times New Roman" w:hAnsi="Times New Roman"/>
                      <w:b/>
                      <w:sz w:val="24"/>
                      <w:szCs w:val="24"/>
                    </w:rPr>
                    <w:t>1,169,030</w:t>
                  </w:r>
                </w:p>
              </w:tc>
              <w:tc>
                <w:tcPr>
                  <w:tcW w:w="2880" w:type="dxa"/>
                </w:tcPr>
                <w:p w:rsidR="00587F65" w:rsidRPr="00806099" w:rsidRDefault="00587F65" w:rsidP="0055464B">
                  <w:pPr>
                    <w:rPr>
                      <w:rFonts w:ascii="Times New Roman" w:hAnsi="Times New Roman"/>
                      <w:b/>
                      <w:sz w:val="24"/>
                      <w:szCs w:val="24"/>
                    </w:rPr>
                  </w:pPr>
                  <w:r w:rsidRPr="00806099">
                    <w:rPr>
                      <w:rFonts w:ascii="Times New Roman" w:hAnsi="Times New Roman"/>
                      <w:b/>
                      <w:sz w:val="24"/>
                      <w:szCs w:val="24"/>
                    </w:rPr>
                    <w:t>100%</w:t>
                  </w:r>
                </w:p>
              </w:tc>
            </w:tr>
          </w:tbl>
          <w:p w:rsidR="00587F65" w:rsidRPr="00806099" w:rsidRDefault="00587F65" w:rsidP="0055464B">
            <w:pPr>
              <w:autoSpaceDE w:val="0"/>
              <w:autoSpaceDN w:val="0"/>
              <w:adjustRightInd w:val="0"/>
              <w:spacing w:after="0" w:line="240" w:lineRule="auto"/>
              <w:rPr>
                <w:rFonts w:ascii="Times New Roman" w:eastAsiaTheme="minorHAnsi" w:hAnsi="Times New Roman"/>
                <w:sz w:val="24"/>
                <w:szCs w:val="24"/>
              </w:rPr>
            </w:pPr>
          </w:p>
          <w:p w:rsidR="00587F65" w:rsidRPr="00806099" w:rsidRDefault="00587F65" w:rsidP="0055464B">
            <w:pPr>
              <w:autoSpaceDE w:val="0"/>
              <w:autoSpaceDN w:val="0"/>
              <w:adjustRightInd w:val="0"/>
              <w:spacing w:after="0" w:line="240" w:lineRule="auto"/>
              <w:rPr>
                <w:rFonts w:ascii="Times New Roman" w:eastAsiaTheme="minorHAnsi" w:hAnsi="Times New Roman"/>
                <w:sz w:val="24"/>
                <w:szCs w:val="24"/>
              </w:rPr>
            </w:pPr>
            <w:r w:rsidRPr="00806099">
              <w:rPr>
                <w:rFonts w:ascii="Times New Roman" w:eastAsiaTheme="minorHAnsi" w:hAnsi="Times New Roman"/>
                <w:sz w:val="24"/>
                <w:szCs w:val="24"/>
              </w:rPr>
              <w:t>Table</w:t>
            </w:r>
            <w:r>
              <w:rPr>
                <w:rFonts w:ascii="Times New Roman" w:eastAsiaTheme="minorHAnsi" w:hAnsi="Times New Roman"/>
                <w:sz w:val="24"/>
                <w:szCs w:val="24"/>
              </w:rPr>
              <w:t xml:space="preserve"> II</w:t>
            </w:r>
            <w:r w:rsidRPr="00806099">
              <w:rPr>
                <w:rFonts w:ascii="Times New Roman" w:eastAsiaTheme="minorHAnsi" w:hAnsi="Times New Roman"/>
                <w:sz w:val="24"/>
                <w:szCs w:val="24"/>
              </w:rPr>
              <w:t xml:space="preserve"> shows that there are 1,169,030 dwelling units in the region. The data also show</w:t>
            </w:r>
            <w:r>
              <w:rPr>
                <w:rFonts w:ascii="Times New Roman" w:eastAsiaTheme="minorHAnsi" w:hAnsi="Times New Roman"/>
                <w:sz w:val="24"/>
                <w:szCs w:val="24"/>
              </w:rPr>
              <w:t>s</w:t>
            </w:r>
            <w:r w:rsidRPr="00806099">
              <w:rPr>
                <w:rFonts w:ascii="Times New Roman" w:eastAsiaTheme="minorHAnsi" w:hAnsi="Times New Roman"/>
                <w:sz w:val="24"/>
                <w:szCs w:val="24"/>
              </w:rPr>
              <w:t xml:space="preserve"> that most households reside in rooms in compound houses (52.2%) and separate houses (24.7%). This observation is reflected across regions. Makeshift dwelling units such as tents, kiosks,</w:t>
            </w:r>
          </w:p>
          <w:p w:rsidR="00587F65" w:rsidRPr="00806099" w:rsidRDefault="00587F65" w:rsidP="0055464B">
            <w:pPr>
              <w:autoSpaceDE w:val="0"/>
              <w:autoSpaceDN w:val="0"/>
              <w:adjustRightInd w:val="0"/>
              <w:spacing w:after="0" w:line="240" w:lineRule="auto"/>
              <w:rPr>
                <w:rFonts w:ascii="Times New Roman" w:eastAsiaTheme="minorHAnsi" w:hAnsi="Times New Roman"/>
                <w:sz w:val="24"/>
                <w:szCs w:val="24"/>
              </w:rPr>
            </w:pPr>
            <w:proofErr w:type="gramStart"/>
            <w:r w:rsidRPr="00806099">
              <w:rPr>
                <w:rFonts w:ascii="Times New Roman" w:eastAsiaTheme="minorHAnsi" w:hAnsi="Times New Roman"/>
                <w:sz w:val="24"/>
                <w:szCs w:val="24"/>
              </w:rPr>
              <w:t>containers</w:t>
            </w:r>
            <w:proofErr w:type="gramEnd"/>
            <w:r w:rsidRPr="00806099">
              <w:rPr>
                <w:rFonts w:ascii="Times New Roman" w:eastAsiaTheme="minorHAnsi" w:hAnsi="Times New Roman"/>
                <w:sz w:val="24"/>
                <w:szCs w:val="24"/>
              </w:rPr>
              <w:t xml:space="preserve"> and attachment to shops or offices together constitute 2.0 percent. In all regions,</w:t>
            </w:r>
          </w:p>
          <w:p w:rsidR="00587F65" w:rsidRPr="00806099" w:rsidRDefault="00587F65" w:rsidP="0055464B">
            <w:pPr>
              <w:autoSpaceDE w:val="0"/>
              <w:autoSpaceDN w:val="0"/>
              <w:adjustRightInd w:val="0"/>
              <w:spacing w:after="0" w:line="240" w:lineRule="auto"/>
              <w:rPr>
                <w:rFonts w:ascii="Times New Roman" w:eastAsiaTheme="minorHAnsi" w:hAnsi="Times New Roman"/>
                <w:sz w:val="24"/>
                <w:szCs w:val="24"/>
              </w:rPr>
            </w:pPr>
            <w:r w:rsidRPr="00806099">
              <w:rPr>
                <w:rFonts w:ascii="Times New Roman" w:eastAsiaTheme="minorHAnsi" w:hAnsi="Times New Roman"/>
                <w:sz w:val="24"/>
                <w:szCs w:val="24"/>
              </w:rPr>
              <w:t xml:space="preserve"> </w:t>
            </w:r>
            <w:proofErr w:type="gramStart"/>
            <w:r w:rsidRPr="00806099">
              <w:rPr>
                <w:rFonts w:ascii="Times New Roman" w:eastAsiaTheme="minorHAnsi" w:hAnsi="Times New Roman"/>
                <w:sz w:val="24"/>
                <w:szCs w:val="24"/>
              </w:rPr>
              <w:t>the</w:t>
            </w:r>
            <w:proofErr w:type="gramEnd"/>
            <w:r w:rsidRPr="00806099">
              <w:rPr>
                <w:rFonts w:ascii="Times New Roman" w:eastAsiaTheme="minorHAnsi" w:hAnsi="Times New Roman"/>
                <w:sz w:val="24"/>
                <w:szCs w:val="24"/>
              </w:rPr>
              <w:t xml:space="preserve"> proportion of makeshift structures is less than one percent except Greater Accra (6.2%)</w:t>
            </w:r>
          </w:p>
          <w:p w:rsidR="00587F65" w:rsidRPr="00806099" w:rsidRDefault="00587F65" w:rsidP="0055464B">
            <w:pPr>
              <w:rPr>
                <w:rFonts w:ascii="Times New Roman" w:hAnsi="Times New Roman"/>
                <w:sz w:val="24"/>
                <w:szCs w:val="24"/>
              </w:rPr>
            </w:pPr>
            <w:proofErr w:type="gramStart"/>
            <w:r w:rsidRPr="00806099">
              <w:rPr>
                <w:rFonts w:ascii="Times New Roman" w:eastAsiaTheme="minorHAnsi" w:hAnsi="Times New Roman"/>
                <w:sz w:val="24"/>
                <w:szCs w:val="24"/>
              </w:rPr>
              <w:t>and</w:t>
            </w:r>
            <w:proofErr w:type="gramEnd"/>
            <w:r w:rsidRPr="00806099">
              <w:rPr>
                <w:rFonts w:ascii="Times New Roman" w:eastAsiaTheme="minorHAnsi" w:hAnsi="Times New Roman"/>
                <w:sz w:val="24"/>
                <w:szCs w:val="24"/>
              </w:rPr>
              <w:t xml:space="preserve"> Ashanti (1.6%) which have relatively higher proportions of makeshift structures.</w:t>
            </w: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Pr="00806099" w:rsidRDefault="00587F65" w:rsidP="0055464B">
            <w:pPr>
              <w:spacing w:after="0" w:line="240" w:lineRule="auto"/>
              <w:rPr>
                <w:rFonts w:ascii="Times New Roman" w:hAnsi="Times New Roman"/>
                <w:b/>
                <w:sz w:val="24"/>
                <w:szCs w:val="24"/>
              </w:rPr>
            </w:pPr>
            <w:r w:rsidRPr="00806099">
              <w:rPr>
                <w:rFonts w:ascii="Times New Roman" w:hAnsi="Times New Roman"/>
                <w:b/>
                <w:sz w:val="24"/>
                <w:szCs w:val="24"/>
              </w:rPr>
              <w:t>Why build residential real estate in Kumasi?</w:t>
            </w:r>
          </w:p>
          <w:p w:rsidR="00587F65" w:rsidRDefault="00587F65" w:rsidP="0055464B">
            <w:pPr>
              <w:jc w:val="both"/>
              <w:rPr>
                <w:rFonts w:ascii="Times New Roman" w:hAnsi="Times New Roman"/>
                <w:sz w:val="24"/>
                <w:szCs w:val="24"/>
              </w:rPr>
            </w:pPr>
            <w:r w:rsidRPr="00806099">
              <w:rPr>
                <w:rFonts w:ascii="Times New Roman" w:hAnsi="Times New Roman"/>
                <w:sz w:val="24"/>
                <w:szCs w:val="24"/>
              </w:rPr>
              <w:t xml:space="preserve">Recently the Ashanti Region has experienced a considerable increase in investment. The capital of the Ashanti Region and Ghana’s second </w:t>
            </w:r>
            <w:r>
              <w:rPr>
                <w:rFonts w:ascii="Times New Roman" w:hAnsi="Times New Roman"/>
                <w:sz w:val="24"/>
                <w:szCs w:val="24"/>
              </w:rPr>
              <w:t xml:space="preserve">largest is growing at a faster rate than the national capital and also there is relatively less completion in the real estate market in </w:t>
            </w:r>
            <w:proofErr w:type="spellStart"/>
            <w:r>
              <w:rPr>
                <w:rFonts w:ascii="Times New Roman" w:hAnsi="Times New Roman"/>
                <w:sz w:val="24"/>
                <w:szCs w:val="24"/>
              </w:rPr>
              <w:t>Kuamsi</w:t>
            </w:r>
            <w:proofErr w:type="spellEnd"/>
            <w:r>
              <w:rPr>
                <w:rFonts w:ascii="Times New Roman" w:hAnsi="Times New Roman"/>
                <w:sz w:val="24"/>
                <w:szCs w:val="24"/>
              </w:rPr>
              <w:t xml:space="preserve"> compared to Accra.</w:t>
            </w:r>
          </w:p>
          <w:p w:rsidR="00587F65" w:rsidRPr="00806099" w:rsidRDefault="00587F65" w:rsidP="0055464B">
            <w:pPr>
              <w:jc w:val="both"/>
              <w:rPr>
                <w:rFonts w:ascii="Times New Roman" w:hAnsi="Times New Roman"/>
                <w:color w:val="333333"/>
                <w:sz w:val="24"/>
                <w:szCs w:val="24"/>
                <w:shd w:val="clear" w:color="auto" w:fill="FFFFFF"/>
              </w:rPr>
            </w:pPr>
            <w:r>
              <w:rPr>
                <w:rFonts w:ascii="Times New Roman" w:hAnsi="Times New Roman"/>
                <w:sz w:val="24"/>
                <w:szCs w:val="24"/>
              </w:rPr>
              <w:t xml:space="preserve"> </w:t>
            </w:r>
            <w:r w:rsidRPr="00806099">
              <w:rPr>
                <w:rFonts w:ascii="Times New Roman" w:hAnsi="Times New Roman"/>
                <w:sz w:val="24"/>
                <w:szCs w:val="24"/>
              </w:rPr>
              <w:t xml:space="preserve">Kumasi is a centre for manufacturing and transport – it is en route between Ghana’s ports </w:t>
            </w:r>
            <w:r>
              <w:rPr>
                <w:rFonts w:ascii="Times New Roman" w:hAnsi="Times New Roman"/>
                <w:sz w:val="24"/>
                <w:szCs w:val="24"/>
              </w:rPr>
              <w:t xml:space="preserve">in the south </w:t>
            </w:r>
            <w:r w:rsidRPr="00806099">
              <w:rPr>
                <w:rFonts w:ascii="Times New Roman" w:hAnsi="Times New Roman"/>
                <w:sz w:val="24"/>
                <w:szCs w:val="24"/>
              </w:rPr>
              <w:t>and the landlocked countries to the north, and is situated in a region rich in agriculture and natural resources.</w:t>
            </w:r>
            <w:r w:rsidRPr="00806099">
              <w:rPr>
                <w:rFonts w:ascii="Times New Roman" w:hAnsi="Times New Roman"/>
                <w:color w:val="333333"/>
                <w:sz w:val="24"/>
                <w:szCs w:val="24"/>
                <w:shd w:val="clear" w:color="auto" w:fill="FFFFFF"/>
              </w:rPr>
              <w:t xml:space="preserve"> </w:t>
            </w:r>
          </w:p>
          <w:p w:rsidR="00587F65" w:rsidRPr="00806099" w:rsidRDefault="00587F65" w:rsidP="0055464B">
            <w:pPr>
              <w:jc w:val="both"/>
              <w:rPr>
                <w:rFonts w:ascii="Times New Roman" w:hAnsi="Times New Roman"/>
                <w:sz w:val="24"/>
                <w:szCs w:val="24"/>
              </w:rPr>
            </w:pPr>
            <w:r w:rsidRPr="00806099">
              <w:rPr>
                <w:rFonts w:ascii="Times New Roman" w:hAnsi="Times New Roman"/>
                <w:color w:val="333333"/>
                <w:sz w:val="24"/>
                <w:szCs w:val="24"/>
                <w:shd w:val="clear" w:color="auto" w:fill="FFFFFF"/>
              </w:rPr>
              <w:t>The unique centrality of the city as a traversing point from all parts of the country makes it a special place for many to migrate to.  It’s beautiful layout and greenery has accorded it the accolade of being the “Garden City of West Africa”. The metropolis has a circula</w:t>
            </w:r>
            <w:r>
              <w:rPr>
                <w:rFonts w:ascii="Times New Roman" w:hAnsi="Times New Roman"/>
                <w:color w:val="333333"/>
                <w:sz w:val="24"/>
                <w:szCs w:val="24"/>
                <w:shd w:val="clear" w:color="auto" w:fill="FFFFFF"/>
              </w:rPr>
              <w:t>r</w:t>
            </w:r>
            <w:r w:rsidRPr="00806099">
              <w:rPr>
                <w:rFonts w:ascii="Times New Roman" w:hAnsi="Times New Roman"/>
                <w:color w:val="333333"/>
                <w:sz w:val="24"/>
                <w:szCs w:val="24"/>
                <w:shd w:val="clear" w:color="auto" w:fill="FFFFFF"/>
              </w:rPr>
              <w:t xml:space="preserve"> road network pattern comprising five major arterial primary roads linking Kumasi to other parts of the country and they all radiate from the centre of the city. These are the Accra Road, the Tamale Road, the </w:t>
            </w:r>
            <w:proofErr w:type="spellStart"/>
            <w:r w:rsidRPr="00806099">
              <w:rPr>
                <w:rFonts w:ascii="Times New Roman" w:hAnsi="Times New Roman"/>
                <w:color w:val="333333"/>
                <w:sz w:val="24"/>
                <w:szCs w:val="24"/>
                <w:shd w:val="clear" w:color="auto" w:fill="FFFFFF"/>
              </w:rPr>
              <w:t>Wa</w:t>
            </w:r>
            <w:proofErr w:type="spellEnd"/>
            <w:r w:rsidRPr="00806099">
              <w:rPr>
                <w:rFonts w:ascii="Times New Roman" w:hAnsi="Times New Roman"/>
                <w:color w:val="333333"/>
                <w:sz w:val="24"/>
                <w:szCs w:val="24"/>
                <w:shd w:val="clear" w:color="auto" w:fill="FFFFFF"/>
              </w:rPr>
              <w:t xml:space="preserve"> Road, the </w:t>
            </w:r>
            <w:proofErr w:type="spellStart"/>
            <w:r w:rsidRPr="00806099">
              <w:rPr>
                <w:rFonts w:ascii="Times New Roman" w:hAnsi="Times New Roman"/>
                <w:color w:val="333333"/>
                <w:sz w:val="24"/>
                <w:szCs w:val="24"/>
                <w:shd w:val="clear" w:color="auto" w:fill="FFFFFF"/>
              </w:rPr>
              <w:t>Sunyani</w:t>
            </w:r>
            <w:proofErr w:type="spellEnd"/>
            <w:r w:rsidRPr="00806099">
              <w:rPr>
                <w:rFonts w:ascii="Times New Roman" w:hAnsi="Times New Roman"/>
                <w:color w:val="333333"/>
                <w:sz w:val="24"/>
                <w:szCs w:val="24"/>
                <w:shd w:val="clear" w:color="auto" w:fill="FFFFFF"/>
              </w:rPr>
              <w:t xml:space="preserve"> Road and the Cape Coast Road.</w:t>
            </w:r>
          </w:p>
          <w:p w:rsidR="00587F65" w:rsidRPr="00806099" w:rsidRDefault="00587F65" w:rsidP="0055464B">
            <w:pPr>
              <w:jc w:val="both"/>
              <w:rPr>
                <w:rFonts w:ascii="Times New Roman" w:hAnsi="Times New Roman"/>
                <w:sz w:val="24"/>
                <w:szCs w:val="24"/>
              </w:rPr>
            </w:pPr>
            <w:r w:rsidRPr="00806099">
              <w:rPr>
                <w:rFonts w:ascii="Times New Roman" w:hAnsi="Times New Roman"/>
                <w:sz w:val="24"/>
                <w:szCs w:val="24"/>
              </w:rPr>
              <w:t xml:space="preserve">Kumasi is endowed with institutions and companies that </w:t>
            </w:r>
            <w:r>
              <w:rPr>
                <w:rFonts w:ascii="Times New Roman" w:hAnsi="Times New Roman"/>
                <w:sz w:val="24"/>
                <w:szCs w:val="24"/>
              </w:rPr>
              <w:t>provide</w:t>
            </w:r>
            <w:r w:rsidRPr="00806099">
              <w:rPr>
                <w:rFonts w:ascii="Times New Roman" w:hAnsi="Times New Roman"/>
                <w:sz w:val="24"/>
                <w:szCs w:val="24"/>
              </w:rPr>
              <w:t xml:space="preserve"> inputs and offer services in the real estate sector</w:t>
            </w:r>
            <w:r>
              <w:rPr>
                <w:rFonts w:ascii="Times New Roman" w:hAnsi="Times New Roman"/>
                <w:sz w:val="24"/>
                <w:szCs w:val="24"/>
              </w:rPr>
              <w:t xml:space="preserve">. </w:t>
            </w:r>
            <w:r w:rsidRPr="00806099">
              <w:rPr>
                <w:rFonts w:ascii="Times New Roman" w:hAnsi="Times New Roman"/>
                <w:sz w:val="24"/>
                <w:szCs w:val="24"/>
              </w:rPr>
              <w:t>Services offered by these companies include architectural services, building materials and hardware, construction equipment and services, sanitary wares, doors and windows, wall and floor decorations, etc.</w:t>
            </w:r>
          </w:p>
          <w:p w:rsidR="00587F65" w:rsidRPr="00806099" w:rsidRDefault="00587F65" w:rsidP="0055464B">
            <w:pPr>
              <w:jc w:val="both"/>
              <w:rPr>
                <w:rFonts w:ascii="Times New Roman" w:hAnsi="Times New Roman"/>
                <w:color w:val="000000"/>
                <w:sz w:val="24"/>
                <w:szCs w:val="24"/>
                <w:shd w:val="clear" w:color="auto" w:fill="FFFFFF"/>
              </w:rPr>
            </w:pPr>
            <w:r w:rsidRPr="00806099">
              <w:rPr>
                <w:rFonts w:ascii="Times New Roman" w:hAnsi="Times New Roman"/>
                <w:sz w:val="24"/>
                <w:szCs w:val="24"/>
              </w:rPr>
              <w:t xml:space="preserve">Kumasi can boast of a </w:t>
            </w:r>
            <w:r w:rsidRPr="00806099">
              <w:rPr>
                <w:rFonts w:ascii="Times New Roman" w:hAnsi="Times New Roman"/>
                <w:color w:val="000000"/>
                <w:sz w:val="24"/>
                <w:szCs w:val="24"/>
                <w:shd w:val="clear" w:color="auto" w:fill="FFFFFF"/>
              </w:rPr>
              <w:t>specialized part of the labor force in the region with advanced education. Examples of skilled labor in the region are plumbers, engineers, builders, architects, etc. According to the 2010 Population and Housing Census, out of the 1,894,958 population of 15 years and older by level of education, 61,272 had attended Senior High School; 55,010 vocational/technical school; 71,222 Diploma/HND; 41,493 Bachelor Degree and 10,208 had postgraduate certificate.</w:t>
            </w:r>
          </w:p>
          <w:p w:rsidR="00587F65" w:rsidRPr="00806099" w:rsidRDefault="00587F65" w:rsidP="0055464B">
            <w:pPr>
              <w:jc w:val="both"/>
              <w:rPr>
                <w:rFonts w:ascii="Times New Roman" w:hAnsi="Times New Roman"/>
                <w:color w:val="000000"/>
                <w:sz w:val="24"/>
                <w:szCs w:val="24"/>
                <w:shd w:val="clear" w:color="auto" w:fill="FFFFFF"/>
              </w:rPr>
            </w:pPr>
            <w:r w:rsidRPr="00806099">
              <w:rPr>
                <w:rFonts w:ascii="Times New Roman" w:hAnsi="Times New Roman"/>
                <w:color w:val="000000"/>
                <w:sz w:val="24"/>
                <w:szCs w:val="24"/>
                <w:shd w:val="clear" w:color="auto" w:fill="FFFFFF"/>
              </w:rPr>
              <w:t>Out of the total of 2,976,462 population of 15years and older by activity in the region, 2,073,016 are economically active and out of this figure 1,929,018 are employed. Out of the total of 1,963,012 population of 15years and older by occupation in the region, 73,181 are involved in construction and 495 are in real estate.</w:t>
            </w:r>
          </w:p>
          <w:p w:rsidR="00587F65" w:rsidRPr="00806099" w:rsidRDefault="00587F65" w:rsidP="0055464B">
            <w:pPr>
              <w:pStyle w:val="NoSpacing1"/>
              <w:jc w:val="both"/>
              <w:rPr>
                <w:rFonts w:ascii="Times New Roman" w:hAnsi="Times New Roman"/>
                <w:b/>
                <w:sz w:val="24"/>
                <w:szCs w:val="24"/>
              </w:rPr>
            </w:pPr>
            <w:r w:rsidRPr="00806099">
              <w:rPr>
                <w:rFonts w:ascii="Times New Roman" w:hAnsi="Times New Roman"/>
                <w:b/>
                <w:sz w:val="24"/>
                <w:szCs w:val="24"/>
              </w:rPr>
              <w:t>Population Trend: The Ashanti Region and Kumasi, 1984 to 2015</w:t>
            </w:r>
          </w:p>
          <w:p w:rsidR="00587F65" w:rsidRPr="00806099" w:rsidRDefault="00587F65" w:rsidP="0055464B">
            <w:pPr>
              <w:pStyle w:val="NoSpacing1"/>
              <w:jc w:val="both"/>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401.3pt;margin-top:84.35pt;width:51.6pt;height:21.0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" stroked="f">
                  <v:textbox>
                    <w:txbxContent>
                      <w:p w:rsidR="00587F65" w:rsidRDefault="00587F65" w:rsidP="00012F8A">
                        <w:pPr>
                          <w:rPr>
                            <w:sz w:val="20"/>
                            <w:szCs w:val="20"/>
                          </w:rPr>
                        </w:pPr>
                        <w:r>
                          <w:rPr>
                            <w:sz w:val="20"/>
                            <w:szCs w:val="20"/>
                          </w:rPr>
                          <w:t>ASHANTI</w:t>
                        </w:r>
                      </w:p>
                    </w:txbxContent>
                  </v:textbox>
                </v:shape>
              </w:pict>
            </w:r>
            <w:r w:rsidRPr="00806099">
              <w:rPr>
                <w:rFonts w:ascii="Times New Roman" w:hAnsi="Times New Roman"/>
                <w:noProof/>
                <w:sz w:val="24"/>
                <w:szCs w:val="24"/>
              </w:rPr>
              <w:drawing>
                <wp:inline distT="0" distB="0" distL="0" distR="0">
                  <wp:extent cx="5818224" cy="2190307"/>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826057" cy="2193256"/>
                          </a:xfrm>
                          <a:prstGeom prst="rect">
                            <a:avLst/>
                          </a:prstGeom>
                          <a:noFill/>
                          <a:ln w="9525">
                            <a:noFill/>
                            <a:miter lim="800000"/>
                            <a:headEnd/>
                            <a:tailEnd/>
                          </a:ln>
                        </pic:spPr>
                      </pic:pic>
                    </a:graphicData>
                  </a:graphic>
                </wp:inline>
              </w:drawing>
            </w:r>
          </w:p>
          <w:p w:rsidR="00587F65" w:rsidRPr="00806099" w:rsidRDefault="00587F65" w:rsidP="0055464B">
            <w:pPr>
              <w:pStyle w:val="NoSpacing1"/>
              <w:jc w:val="both"/>
              <w:rPr>
                <w:rFonts w:ascii="Times New Roman" w:hAnsi="Times New Roman"/>
                <w:sz w:val="24"/>
                <w:szCs w:val="24"/>
              </w:rPr>
            </w:pPr>
            <w:r w:rsidRPr="00806099">
              <w:rPr>
                <w:rFonts w:ascii="Times New Roman" w:hAnsi="Times New Roman"/>
                <w:sz w:val="24"/>
                <w:szCs w:val="24"/>
              </w:rPr>
              <w:t xml:space="preserve">Source: KMA </w:t>
            </w:r>
            <w:r>
              <w:rPr>
                <w:rFonts w:ascii="Times New Roman" w:hAnsi="Times New Roman"/>
                <w:sz w:val="24"/>
                <w:szCs w:val="24"/>
              </w:rPr>
              <w:t>date?</w:t>
            </w:r>
          </w:p>
          <w:p w:rsidR="00587F65" w:rsidRPr="00806099" w:rsidRDefault="00587F65" w:rsidP="0055464B">
            <w:pPr>
              <w:jc w:val="both"/>
              <w:rPr>
                <w:rFonts w:ascii="Times New Roman" w:hAnsi="Times New Roman"/>
                <w:color w:val="000000"/>
                <w:sz w:val="24"/>
                <w:szCs w:val="24"/>
                <w:shd w:val="clear" w:color="auto" w:fill="FFFFFF"/>
              </w:rPr>
            </w:pPr>
            <w:r w:rsidRPr="00806099">
              <w:rPr>
                <w:rFonts w:ascii="Times New Roman" w:hAnsi="Times New Roman"/>
                <w:color w:val="000000"/>
                <w:sz w:val="24"/>
                <w:szCs w:val="24"/>
                <w:shd w:val="clear" w:color="auto" w:fill="FFFFFF"/>
              </w:rPr>
              <w:t xml:space="preserve">Costs of production in Kumasi, </w:t>
            </w:r>
            <w:proofErr w:type="spellStart"/>
            <w:r w:rsidRPr="00806099">
              <w:rPr>
                <w:rFonts w:ascii="Times New Roman" w:hAnsi="Times New Roman"/>
                <w:color w:val="000000"/>
                <w:sz w:val="24"/>
                <w:szCs w:val="24"/>
                <w:shd w:val="clear" w:color="auto" w:fill="FFFFFF"/>
              </w:rPr>
              <w:t>e.g</w:t>
            </w:r>
            <w:proofErr w:type="spellEnd"/>
            <w:r w:rsidRPr="00806099">
              <w:rPr>
                <w:rFonts w:ascii="Times New Roman" w:hAnsi="Times New Roman"/>
                <w:color w:val="000000"/>
                <w:sz w:val="24"/>
                <w:szCs w:val="24"/>
                <w:shd w:val="clear" w:color="auto" w:fill="FFFFFF"/>
              </w:rPr>
              <w:t xml:space="preserve"> labor, land acquisition, suppliers, overheads and so on are relatively low. For example labor cost is cheaper than in Accra. This is probably due to the relatively higher unemployment rate in Kumasi. </w:t>
            </w:r>
            <w:proofErr w:type="gramStart"/>
            <w:r>
              <w:rPr>
                <w:rFonts w:ascii="Times New Roman" w:hAnsi="Times New Roman"/>
                <w:color w:val="000000"/>
                <w:sz w:val="24"/>
                <w:szCs w:val="24"/>
                <w:shd w:val="clear" w:color="auto" w:fill="FFFFFF"/>
              </w:rPr>
              <w:t>L</w:t>
            </w:r>
            <w:r w:rsidRPr="00806099">
              <w:rPr>
                <w:rFonts w:ascii="Times New Roman" w:hAnsi="Times New Roman"/>
                <w:color w:val="000000"/>
                <w:sz w:val="24"/>
                <w:szCs w:val="24"/>
                <w:shd w:val="clear" w:color="auto" w:fill="FFFFFF"/>
              </w:rPr>
              <w:t>and owners</w:t>
            </w:r>
            <w:proofErr w:type="gramEnd"/>
            <w:r w:rsidRPr="0080609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are</w:t>
            </w:r>
            <w:r w:rsidRPr="00806099">
              <w:rPr>
                <w:rFonts w:ascii="Times New Roman" w:hAnsi="Times New Roman"/>
                <w:color w:val="000000"/>
                <w:sz w:val="24"/>
                <w:szCs w:val="24"/>
                <w:shd w:val="clear" w:color="auto" w:fill="FFFFFF"/>
              </w:rPr>
              <w:t xml:space="preserve"> willing to lease land to real estate investors. Raw materials and equipment</w:t>
            </w:r>
            <w:r>
              <w:rPr>
                <w:rFonts w:ascii="Times New Roman" w:hAnsi="Times New Roman"/>
                <w:color w:val="000000"/>
                <w:sz w:val="24"/>
                <w:szCs w:val="24"/>
                <w:shd w:val="clear" w:color="auto" w:fill="FFFFFF"/>
              </w:rPr>
              <w:t xml:space="preserve"> </w:t>
            </w:r>
            <w:r w:rsidRPr="00806099">
              <w:rPr>
                <w:rFonts w:ascii="Times New Roman" w:hAnsi="Times New Roman"/>
                <w:color w:val="000000"/>
                <w:sz w:val="24"/>
                <w:szCs w:val="24"/>
                <w:shd w:val="clear" w:color="auto" w:fill="FFFFFF"/>
              </w:rPr>
              <w:t xml:space="preserve">such as </w:t>
            </w:r>
            <w:proofErr w:type="gramStart"/>
            <w:r w:rsidRPr="00806099">
              <w:rPr>
                <w:rFonts w:ascii="Times New Roman" w:hAnsi="Times New Roman"/>
                <w:color w:val="000000"/>
                <w:sz w:val="24"/>
                <w:szCs w:val="24"/>
                <w:shd w:val="clear" w:color="auto" w:fill="FFFFFF"/>
              </w:rPr>
              <w:t>heavy duty</w:t>
            </w:r>
            <w:proofErr w:type="gramEnd"/>
            <w:r w:rsidRPr="00806099">
              <w:rPr>
                <w:rFonts w:ascii="Times New Roman" w:hAnsi="Times New Roman"/>
                <w:color w:val="000000"/>
                <w:sz w:val="24"/>
                <w:szCs w:val="24"/>
                <w:shd w:val="clear" w:color="auto" w:fill="FFFFFF"/>
              </w:rPr>
              <w:t xml:space="preserve"> machines are available to be hired or purchased outright. Overhead costs are also relatively lower in Kumasi than Accra and other cities in the sub region. Its unique centrality and superb road network </w:t>
            </w:r>
            <w:proofErr w:type="gramStart"/>
            <w:r w:rsidRPr="00806099">
              <w:rPr>
                <w:rFonts w:ascii="Times New Roman" w:hAnsi="Times New Roman"/>
                <w:color w:val="000000"/>
                <w:sz w:val="24"/>
                <w:szCs w:val="24"/>
                <w:shd w:val="clear" w:color="auto" w:fill="FFFFFF"/>
              </w:rPr>
              <w:t>lessen</w:t>
            </w:r>
            <w:r>
              <w:rPr>
                <w:rFonts w:ascii="Times New Roman" w:hAnsi="Times New Roman"/>
                <w:color w:val="000000"/>
                <w:sz w:val="24"/>
                <w:szCs w:val="24"/>
                <w:shd w:val="clear" w:color="auto" w:fill="FFFFFF"/>
              </w:rPr>
              <w:t>s</w:t>
            </w:r>
            <w:proofErr w:type="gramEnd"/>
            <w:r w:rsidRPr="00806099">
              <w:rPr>
                <w:rFonts w:ascii="Times New Roman" w:hAnsi="Times New Roman"/>
                <w:color w:val="000000"/>
                <w:sz w:val="24"/>
                <w:szCs w:val="24"/>
                <w:shd w:val="clear" w:color="auto" w:fill="FFFFFF"/>
              </w:rPr>
              <w:t xml:space="preserve"> the burden of communication and transport. Kumasi is the focal point when it comes to doing business in Ghana at a lower cost.</w:t>
            </w:r>
          </w:p>
          <w:p w:rsidR="00587F65" w:rsidRDefault="00587F65" w:rsidP="0055464B">
            <w:pPr>
              <w:rPr>
                <w:rFonts w:ascii="Times New Roman" w:hAnsi="Times New Roman"/>
                <w:color w:val="000000"/>
                <w:sz w:val="24"/>
                <w:szCs w:val="24"/>
                <w:shd w:val="clear" w:color="auto" w:fill="FFFFFF"/>
              </w:rPr>
            </w:pPr>
            <w:r w:rsidRPr="00806099">
              <w:rPr>
                <w:rFonts w:ascii="Times New Roman" w:hAnsi="Times New Roman"/>
                <w:color w:val="000000"/>
                <w:sz w:val="24"/>
                <w:szCs w:val="24"/>
                <w:shd w:val="clear" w:color="auto" w:fill="FFFFFF"/>
              </w:rPr>
              <w:t>Wealthy groups, including business people, foreign expatriates and Ghanaian expatriates investing at home favor Kumasi due to its beautiful layout, serene and greenery atmosphere. Recent years have also brought increasing demand from affluent Nigerians and other West Africans, who look on Ghana as a relatively safe and stable place</w:t>
            </w:r>
            <w:r>
              <w:rPr>
                <w:rFonts w:ascii="Times New Roman" w:hAnsi="Times New Roman"/>
                <w:color w:val="000000"/>
                <w:sz w:val="24"/>
                <w:szCs w:val="24"/>
                <w:shd w:val="clear" w:color="auto" w:fill="FFFFFF"/>
              </w:rPr>
              <w:t xml:space="preserve"> </w:t>
            </w:r>
            <w:r w:rsidRPr="00806099">
              <w:rPr>
                <w:rFonts w:ascii="Times New Roman" w:hAnsi="Times New Roman"/>
                <w:color w:val="000000"/>
                <w:sz w:val="24"/>
                <w:szCs w:val="24"/>
                <w:shd w:val="clear" w:color="auto" w:fill="FFFFFF"/>
              </w:rPr>
              <w:t>to invest and have a second, or even first, home. Some send their children to school and university in Kumasi, and buy or rent properties for them.</w:t>
            </w:r>
          </w:p>
          <w:p w:rsidR="00587F65" w:rsidRPr="003264CF" w:rsidRDefault="00587F65" w:rsidP="0055464B">
            <w:pPr>
              <w:rPr>
                <w:rFonts w:ascii="Times New Roman" w:hAnsi="Times New Roman"/>
                <w:b/>
                <w:color w:val="000000"/>
                <w:sz w:val="24"/>
                <w:szCs w:val="24"/>
                <w:shd w:val="clear" w:color="auto" w:fill="FFFFFF"/>
              </w:rPr>
            </w:pPr>
            <w:r w:rsidRPr="003264CF">
              <w:rPr>
                <w:rFonts w:ascii="Times New Roman" w:hAnsi="Times New Roman"/>
                <w:b/>
                <w:color w:val="000000"/>
                <w:sz w:val="24"/>
                <w:szCs w:val="24"/>
                <w:shd w:val="clear" w:color="auto" w:fill="FFFFFF"/>
              </w:rPr>
              <w:t>Foreign Community in Ashanti Region 2010</w:t>
            </w:r>
          </w:p>
          <w:p w:rsidR="00587F65" w:rsidRDefault="00587F65" w:rsidP="0055464B">
            <w:pPr>
              <w:rPr>
                <w:rFonts w:ascii="Times New Roman" w:hAnsi="Times New Roman"/>
                <w:color w:val="000000"/>
                <w:sz w:val="24"/>
                <w:szCs w:val="24"/>
              </w:rPr>
            </w:pPr>
            <w:r w:rsidRPr="003264CF">
              <w:rPr>
                <w:rFonts w:ascii="Times New Roman" w:hAnsi="Times New Roman"/>
                <w:noProof/>
                <w:color w:val="000000"/>
                <w:sz w:val="24"/>
                <w:szCs w:val="24"/>
                <w:shd w:val="clear" w:color="auto" w:fill="FFFFFF"/>
              </w:rPr>
              <w:drawing>
                <wp:inline distT="0" distB="0" distL="0" distR="0">
                  <wp:extent cx="5680001" cy="2615610"/>
                  <wp:effectExtent l="19050" t="0" r="15949"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06099">
              <w:rPr>
                <w:rFonts w:ascii="Times New Roman" w:hAnsi="Times New Roman"/>
                <w:color w:val="000000"/>
                <w:sz w:val="24"/>
                <w:szCs w:val="24"/>
              </w:rPr>
              <w:br/>
            </w:r>
            <w:r w:rsidRPr="003264CF">
              <w:rPr>
                <w:rFonts w:ascii="Times New Roman" w:hAnsi="Times New Roman"/>
                <w:i/>
                <w:color w:val="000000"/>
                <w:sz w:val="24"/>
                <w:szCs w:val="24"/>
              </w:rPr>
              <w:t>Source:  2010 National Population Census</w:t>
            </w:r>
            <w:r>
              <w:rPr>
                <w:rFonts w:ascii="Times New Roman" w:hAnsi="Times New Roman"/>
                <w:color w:val="000000"/>
                <w:sz w:val="24"/>
                <w:szCs w:val="24"/>
              </w:rPr>
              <w:t xml:space="preserve"> </w:t>
            </w:r>
          </w:p>
          <w:p w:rsidR="00587F65" w:rsidRPr="00806099" w:rsidRDefault="00587F65" w:rsidP="00012F8A">
            <w:pPr>
              <w:spacing w:line="240" w:lineRule="auto"/>
              <w:jc w:val="both"/>
              <w:rPr>
                <w:rFonts w:ascii="Times New Roman" w:hAnsi="Times New Roman"/>
                <w:sz w:val="24"/>
                <w:szCs w:val="24"/>
              </w:rPr>
            </w:pPr>
            <w:r w:rsidRPr="00806099">
              <w:rPr>
                <w:rFonts w:ascii="Times New Roman" w:hAnsi="Times New Roman"/>
                <w:sz w:val="24"/>
                <w:szCs w:val="24"/>
              </w:rPr>
              <w:t xml:space="preserve">The deeds registry has been </w:t>
            </w:r>
            <w:proofErr w:type="spellStart"/>
            <w:r w:rsidRPr="00806099">
              <w:rPr>
                <w:rFonts w:ascii="Times New Roman" w:hAnsi="Times New Roman"/>
                <w:sz w:val="24"/>
                <w:szCs w:val="24"/>
              </w:rPr>
              <w:t>decentralised</w:t>
            </w:r>
            <w:proofErr w:type="spellEnd"/>
            <w:r w:rsidRPr="00806099">
              <w:rPr>
                <w:rFonts w:ascii="Times New Roman" w:hAnsi="Times New Roman"/>
                <w:sz w:val="24"/>
                <w:szCs w:val="24"/>
              </w:rPr>
              <w:t xml:space="preserve"> to the regions. Deed registration </w:t>
            </w:r>
            <w:r>
              <w:rPr>
                <w:rFonts w:ascii="Times New Roman" w:hAnsi="Times New Roman"/>
                <w:sz w:val="24"/>
                <w:szCs w:val="24"/>
              </w:rPr>
              <w:t>has been reduced to two months since</w:t>
            </w:r>
            <w:r w:rsidRPr="00806099">
              <w:rPr>
                <w:rFonts w:ascii="Times New Roman" w:hAnsi="Times New Roman"/>
                <w:sz w:val="24"/>
                <w:szCs w:val="24"/>
              </w:rPr>
              <w:t xml:space="preserve"> mid-2010, according to the World Bank, from 36 months previously. The </w:t>
            </w:r>
            <w:r>
              <w:rPr>
                <w:rFonts w:ascii="Times New Roman" w:hAnsi="Times New Roman"/>
                <w:sz w:val="24"/>
                <w:szCs w:val="24"/>
              </w:rPr>
              <w:t xml:space="preserve">time for </w:t>
            </w:r>
            <w:r w:rsidRPr="00806099">
              <w:rPr>
                <w:rFonts w:ascii="Times New Roman" w:hAnsi="Times New Roman"/>
                <w:sz w:val="24"/>
                <w:szCs w:val="24"/>
              </w:rPr>
              <w:t xml:space="preserve">registration </w:t>
            </w:r>
            <w:r>
              <w:rPr>
                <w:rFonts w:ascii="Times New Roman" w:hAnsi="Times New Roman"/>
                <w:sz w:val="24"/>
                <w:szCs w:val="24"/>
              </w:rPr>
              <w:t xml:space="preserve">of </w:t>
            </w:r>
            <w:r w:rsidRPr="00806099">
              <w:rPr>
                <w:rFonts w:ascii="Times New Roman" w:hAnsi="Times New Roman"/>
                <w:sz w:val="24"/>
                <w:szCs w:val="24"/>
              </w:rPr>
              <w:t>deeds of sale with the lands commission has been cut from 135 days to 34 days, thanks to a ministerial directive in 2006, and further reductions are expected.</w:t>
            </w:r>
          </w:p>
          <w:p w:rsidR="00587F65" w:rsidRPr="00806099" w:rsidRDefault="00587F65" w:rsidP="00012F8A">
            <w:pPr>
              <w:rPr>
                <w:rFonts w:ascii="Times New Roman" w:hAnsi="Times New Roman"/>
                <w:color w:val="000000"/>
                <w:sz w:val="24"/>
                <w:szCs w:val="24"/>
              </w:rPr>
            </w:pPr>
            <w:r w:rsidRPr="00806099">
              <w:rPr>
                <w:rFonts w:ascii="Times New Roman" w:hAnsi="Times New Roman"/>
                <w:sz w:val="24"/>
                <w:szCs w:val="24"/>
              </w:rPr>
              <w:t>One of the most important steps was the passing of the Lands Commission Act 767 in 2008, which strengthened and streamlined arrangements for land administration. The newly established Customary Land Secretariats had comp</w:t>
            </w:r>
            <w:r>
              <w:rPr>
                <w:rFonts w:ascii="Times New Roman" w:hAnsi="Times New Roman"/>
                <w:sz w:val="24"/>
                <w:szCs w:val="24"/>
              </w:rPr>
              <w:t>i</w:t>
            </w:r>
            <w:r w:rsidRPr="00806099">
              <w:rPr>
                <w:rFonts w:ascii="Times New Roman" w:hAnsi="Times New Roman"/>
                <w:sz w:val="24"/>
                <w:szCs w:val="24"/>
              </w:rPr>
              <w:t>led 58,000 land records by mid-2010 and pilot activities in areas including land use planning, land courts, deed registration and valuation, have provided information that could be scaled up</w:t>
            </w: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Pr="00806099"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Potential locations in Kumasi</w:t>
            </w:r>
          </w:p>
          <w:p w:rsidR="00587F65" w:rsidRPr="00806099" w:rsidRDefault="00587F65" w:rsidP="0055464B">
            <w:pPr>
              <w:spacing w:after="0" w:line="240" w:lineRule="auto"/>
              <w:rPr>
                <w:rFonts w:ascii="Times New Roman" w:hAnsi="Times New Roman"/>
                <w:sz w:val="24"/>
                <w:szCs w:val="24"/>
              </w:rPr>
            </w:pPr>
            <w:r w:rsidRPr="00806099">
              <w:rPr>
                <w:rFonts w:ascii="Times New Roman" w:hAnsi="Times New Roman"/>
                <w:sz w:val="24"/>
                <w:szCs w:val="24"/>
              </w:rPr>
              <w:t xml:space="preserve">The following areas have been identified as suitable locations for </w:t>
            </w:r>
            <w:r>
              <w:rPr>
                <w:rFonts w:ascii="Times New Roman" w:hAnsi="Times New Roman"/>
                <w:sz w:val="24"/>
                <w:szCs w:val="24"/>
              </w:rPr>
              <w:t xml:space="preserve">affordable </w:t>
            </w:r>
            <w:r w:rsidRPr="00806099">
              <w:rPr>
                <w:rFonts w:ascii="Times New Roman" w:hAnsi="Times New Roman"/>
                <w:sz w:val="24"/>
                <w:szCs w:val="24"/>
              </w:rPr>
              <w:t>housing projects. These sites have been identified because of the proximity to the city centre and the general availability of land.</w:t>
            </w:r>
          </w:p>
          <w:p w:rsidR="00587F65" w:rsidRPr="00806099" w:rsidRDefault="00587F65" w:rsidP="00012F8A">
            <w:pPr>
              <w:numPr>
                <w:ilvl w:val="0"/>
                <w:numId w:val="2"/>
              </w:numPr>
              <w:spacing w:after="0" w:line="240" w:lineRule="auto"/>
              <w:contextualSpacing/>
              <w:rPr>
                <w:rFonts w:ascii="Times New Roman" w:hAnsi="Times New Roman"/>
                <w:sz w:val="24"/>
                <w:szCs w:val="24"/>
              </w:rPr>
            </w:pPr>
            <w:proofErr w:type="spellStart"/>
            <w:r w:rsidRPr="00806099">
              <w:rPr>
                <w:rFonts w:ascii="Times New Roman" w:hAnsi="Times New Roman"/>
                <w:sz w:val="24"/>
                <w:szCs w:val="24"/>
              </w:rPr>
              <w:t>Ejisu</w:t>
            </w:r>
            <w:proofErr w:type="spellEnd"/>
            <w:r w:rsidRPr="00806099">
              <w:rPr>
                <w:rFonts w:ascii="Times New Roman" w:hAnsi="Times New Roman"/>
                <w:sz w:val="24"/>
                <w:szCs w:val="24"/>
              </w:rPr>
              <w:t xml:space="preserve"> </w:t>
            </w:r>
            <w:proofErr w:type="spellStart"/>
            <w:r w:rsidRPr="00806099">
              <w:rPr>
                <w:rFonts w:ascii="Times New Roman" w:hAnsi="Times New Roman"/>
                <w:sz w:val="24"/>
                <w:szCs w:val="24"/>
              </w:rPr>
              <w:t>Juabeng</w:t>
            </w:r>
            <w:proofErr w:type="spellEnd"/>
            <w:r w:rsidRPr="00806099">
              <w:rPr>
                <w:rFonts w:ascii="Times New Roman" w:hAnsi="Times New Roman"/>
                <w:sz w:val="24"/>
                <w:szCs w:val="24"/>
              </w:rPr>
              <w:t xml:space="preserve"> </w:t>
            </w:r>
          </w:p>
          <w:p w:rsidR="00587F65" w:rsidRPr="00806099" w:rsidRDefault="00587F65" w:rsidP="00012F8A">
            <w:pPr>
              <w:numPr>
                <w:ilvl w:val="0"/>
                <w:numId w:val="2"/>
              </w:numPr>
              <w:spacing w:after="0" w:line="240" w:lineRule="auto"/>
              <w:contextualSpacing/>
              <w:rPr>
                <w:rFonts w:ascii="Times New Roman" w:hAnsi="Times New Roman"/>
                <w:sz w:val="24"/>
                <w:szCs w:val="24"/>
              </w:rPr>
            </w:pPr>
            <w:proofErr w:type="spellStart"/>
            <w:r w:rsidRPr="00806099">
              <w:rPr>
                <w:rFonts w:ascii="Times New Roman" w:hAnsi="Times New Roman"/>
                <w:sz w:val="24"/>
                <w:szCs w:val="24"/>
              </w:rPr>
              <w:t>Pekyie</w:t>
            </w:r>
            <w:proofErr w:type="spellEnd"/>
            <w:r w:rsidRPr="00806099">
              <w:rPr>
                <w:rFonts w:ascii="Times New Roman" w:hAnsi="Times New Roman"/>
                <w:sz w:val="24"/>
                <w:szCs w:val="24"/>
              </w:rPr>
              <w:t xml:space="preserve"> 1</w:t>
            </w:r>
          </w:p>
          <w:p w:rsidR="00587F65" w:rsidRPr="00806099" w:rsidRDefault="00587F65" w:rsidP="00012F8A">
            <w:pPr>
              <w:numPr>
                <w:ilvl w:val="0"/>
                <w:numId w:val="2"/>
              </w:numPr>
              <w:spacing w:after="0" w:line="240" w:lineRule="auto"/>
              <w:contextualSpacing/>
              <w:rPr>
                <w:rFonts w:ascii="Times New Roman" w:hAnsi="Times New Roman"/>
                <w:sz w:val="24"/>
                <w:szCs w:val="24"/>
              </w:rPr>
            </w:pPr>
            <w:proofErr w:type="spellStart"/>
            <w:r w:rsidRPr="00806099">
              <w:rPr>
                <w:rFonts w:ascii="Times New Roman" w:hAnsi="Times New Roman"/>
                <w:sz w:val="24"/>
                <w:szCs w:val="24"/>
              </w:rPr>
              <w:t>Pekyie</w:t>
            </w:r>
            <w:proofErr w:type="spellEnd"/>
            <w:r w:rsidRPr="00806099">
              <w:rPr>
                <w:rFonts w:ascii="Times New Roman" w:hAnsi="Times New Roman"/>
                <w:sz w:val="24"/>
                <w:szCs w:val="24"/>
              </w:rPr>
              <w:t xml:space="preserve"> 2</w:t>
            </w:r>
          </w:p>
          <w:p w:rsidR="00587F65" w:rsidRPr="00806099" w:rsidRDefault="00587F65" w:rsidP="00012F8A">
            <w:pPr>
              <w:pStyle w:val="ListParagraph"/>
              <w:numPr>
                <w:ilvl w:val="0"/>
                <w:numId w:val="2"/>
              </w:numPr>
              <w:spacing w:after="0" w:line="240" w:lineRule="auto"/>
              <w:rPr>
                <w:rFonts w:ascii="Times New Roman" w:hAnsi="Times New Roman"/>
                <w:color w:val="000000"/>
                <w:sz w:val="24"/>
                <w:szCs w:val="24"/>
              </w:rPr>
            </w:pPr>
            <w:proofErr w:type="spellStart"/>
            <w:r w:rsidRPr="00806099">
              <w:rPr>
                <w:rFonts w:ascii="Times New Roman" w:hAnsi="Times New Roman"/>
                <w:sz w:val="24"/>
                <w:szCs w:val="24"/>
              </w:rPr>
              <w:t>Apire</w:t>
            </w:r>
            <w:proofErr w:type="spellEnd"/>
          </w:p>
          <w:p w:rsidR="00587F65" w:rsidRPr="00806099" w:rsidRDefault="00587F65" w:rsidP="0055464B">
            <w:pPr>
              <w:spacing w:after="0" w:line="240" w:lineRule="auto"/>
              <w:rPr>
                <w:rFonts w:ascii="Times New Roman" w:hAnsi="Times New Roman"/>
                <w:color w:val="000000"/>
                <w:sz w:val="24"/>
                <w:szCs w:val="24"/>
              </w:rPr>
            </w:pPr>
            <w:r w:rsidRPr="00322C2D">
              <w:rPr>
                <w:rFonts w:ascii="Times New Roman" w:hAnsi="Times New Roman"/>
                <w:sz w:val="24"/>
                <w:szCs w:val="24"/>
              </w:rPr>
              <w:t xml:space="preserve">The Kumasi City Investment Promotion Unit (KCIPU) of the KMA will assist a potential investor with the identification of specific land and facilitate the </w:t>
            </w:r>
            <w:r>
              <w:rPr>
                <w:rFonts w:ascii="Times New Roman" w:hAnsi="Times New Roman"/>
                <w:sz w:val="24"/>
                <w:szCs w:val="24"/>
              </w:rPr>
              <w:t xml:space="preserve">land </w:t>
            </w:r>
            <w:r w:rsidRPr="00322C2D">
              <w:rPr>
                <w:rFonts w:ascii="Times New Roman" w:hAnsi="Times New Roman"/>
                <w:sz w:val="24"/>
                <w:szCs w:val="24"/>
              </w:rPr>
              <w:t>acquisition process</w:t>
            </w: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Support provided by Kumasi Municipality and Kumasi Regional Administration</w:t>
            </w:r>
          </w:p>
          <w:p w:rsidR="00587F65" w:rsidRPr="00322C2D" w:rsidRDefault="00587F65" w:rsidP="0055464B">
            <w:pPr>
              <w:spacing w:after="0" w:line="240" w:lineRule="auto"/>
              <w:rPr>
                <w:rFonts w:ascii="Times New Roman" w:hAnsi="Times New Roman"/>
                <w:sz w:val="24"/>
                <w:szCs w:val="24"/>
              </w:rPr>
            </w:pPr>
            <w:r>
              <w:rPr>
                <w:rFonts w:ascii="Times New Roman" w:hAnsi="Times New Roman"/>
                <w:sz w:val="24"/>
                <w:szCs w:val="24"/>
              </w:rPr>
              <w:t>As mentioned above, t</w:t>
            </w:r>
            <w:r w:rsidRPr="00322C2D">
              <w:rPr>
                <w:rFonts w:ascii="Times New Roman" w:hAnsi="Times New Roman"/>
                <w:sz w:val="24"/>
                <w:szCs w:val="24"/>
              </w:rPr>
              <w:t xml:space="preserve">he Kumasi City Investment Promotion Unit (KCIPU) of the KMA will assist a potential investor with the identification of specific land and facilitate the </w:t>
            </w:r>
            <w:r>
              <w:rPr>
                <w:rFonts w:ascii="Times New Roman" w:hAnsi="Times New Roman"/>
                <w:sz w:val="24"/>
                <w:szCs w:val="24"/>
              </w:rPr>
              <w:t xml:space="preserve">land </w:t>
            </w:r>
            <w:r w:rsidRPr="00322C2D">
              <w:rPr>
                <w:rFonts w:ascii="Times New Roman" w:hAnsi="Times New Roman"/>
                <w:sz w:val="24"/>
                <w:szCs w:val="24"/>
              </w:rPr>
              <w:t xml:space="preserve">acquisition process. </w:t>
            </w:r>
          </w:p>
          <w:p w:rsidR="00587F65" w:rsidRPr="00322C2D" w:rsidRDefault="00587F65" w:rsidP="0055464B">
            <w:pPr>
              <w:spacing w:after="0" w:line="240" w:lineRule="auto"/>
              <w:rPr>
                <w:rFonts w:ascii="Times New Roman" w:hAnsi="Times New Roman"/>
                <w:sz w:val="24"/>
                <w:szCs w:val="24"/>
              </w:rPr>
            </w:pPr>
          </w:p>
          <w:p w:rsidR="00587F65" w:rsidRPr="00806099" w:rsidRDefault="00587F65" w:rsidP="0055464B">
            <w:pPr>
              <w:spacing w:after="0" w:line="240" w:lineRule="auto"/>
              <w:rPr>
                <w:rFonts w:ascii="Times New Roman" w:hAnsi="Times New Roman"/>
                <w:b/>
                <w:color w:val="000000"/>
                <w:sz w:val="24"/>
                <w:szCs w:val="24"/>
              </w:rPr>
            </w:pPr>
            <w:r w:rsidRPr="00322C2D">
              <w:rPr>
                <w:rFonts w:ascii="Times New Roman" w:hAnsi="Times New Roman"/>
                <w:sz w:val="24"/>
                <w:szCs w:val="24"/>
              </w:rPr>
              <w:t>The KCIPU will also assist potential investors in securing building permits for their projects. Building permits are building development consents granted to a prospective developer by the KMA to construct buildings or related structures in an approved location, within a set time frame and in line with local or national building regulations. The permit provides the necessary guarantee that a proposed building or related structure is to a large extent suitable for construction.</w:t>
            </w:r>
          </w:p>
          <w:p w:rsidR="00587F65" w:rsidRPr="00806099" w:rsidRDefault="00587F65" w:rsidP="0055464B">
            <w:pPr>
              <w:spacing w:after="0" w:line="240" w:lineRule="auto"/>
              <w:rPr>
                <w:rFonts w:ascii="Times New Roman" w:hAnsi="Times New Roman"/>
                <w:color w:val="000000"/>
                <w:sz w:val="24"/>
                <w:szCs w:val="24"/>
              </w:rPr>
            </w:pP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Pr="00806099"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Investment incentives</w:t>
            </w:r>
          </w:p>
          <w:p w:rsidR="00587F65" w:rsidRPr="00322C2D" w:rsidRDefault="00587F65" w:rsidP="0055464B">
            <w:pPr>
              <w:spacing w:after="0" w:line="240" w:lineRule="auto"/>
              <w:rPr>
                <w:rFonts w:ascii="Times New Roman" w:hAnsi="Times New Roman"/>
                <w:sz w:val="24"/>
                <w:szCs w:val="24"/>
              </w:rPr>
            </w:pPr>
            <w:r>
              <w:rPr>
                <w:rFonts w:ascii="Times New Roman" w:hAnsi="Times New Roman"/>
                <w:sz w:val="24"/>
                <w:szCs w:val="24"/>
              </w:rPr>
              <w:t>The city</w:t>
            </w:r>
            <w:r w:rsidRPr="00322C2D">
              <w:rPr>
                <w:rFonts w:ascii="Times New Roman" w:hAnsi="Times New Roman"/>
                <w:sz w:val="24"/>
                <w:szCs w:val="24"/>
              </w:rPr>
              <w:t xml:space="preserve"> hosts major international</w:t>
            </w:r>
            <w:r>
              <w:rPr>
                <w:rFonts w:ascii="Times New Roman" w:hAnsi="Times New Roman"/>
                <w:sz w:val="24"/>
                <w:szCs w:val="24"/>
              </w:rPr>
              <w:t xml:space="preserve"> and</w:t>
            </w:r>
            <w:r w:rsidRPr="00322C2D">
              <w:rPr>
                <w:rFonts w:ascii="Times New Roman" w:hAnsi="Times New Roman"/>
                <w:sz w:val="24"/>
                <w:szCs w:val="24"/>
              </w:rPr>
              <w:t xml:space="preserve"> local finance institutions that a potential investor can benefit from. There are 25 banks and one mortgage finance institution in the country. All these banks are universal in nature </w:t>
            </w:r>
            <w:r>
              <w:rPr>
                <w:rFonts w:ascii="Times New Roman" w:hAnsi="Times New Roman"/>
                <w:sz w:val="24"/>
                <w:szCs w:val="24"/>
              </w:rPr>
              <w:t xml:space="preserve">and </w:t>
            </w:r>
            <w:r w:rsidRPr="00322C2D">
              <w:rPr>
                <w:rFonts w:ascii="Times New Roman" w:hAnsi="Times New Roman"/>
                <w:sz w:val="24"/>
                <w:szCs w:val="24"/>
              </w:rPr>
              <w:t>provid</w:t>
            </w:r>
            <w:r>
              <w:rPr>
                <w:rFonts w:ascii="Times New Roman" w:hAnsi="Times New Roman"/>
                <w:sz w:val="24"/>
                <w:szCs w:val="24"/>
              </w:rPr>
              <w:t>e</w:t>
            </w:r>
            <w:r w:rsidRPr="00322C2D">
              <w:rPr>
                <w:rFonts w:ascii="Times New Roman" w:hAnsi="Times New Roman"/>
                <w:sz w:val="24"/>
                <w:szCs w:val="24"/>
              </w:rPr>
              <w:t xml:space="preserve"> support for the real estate sector.</w:t>
            </w:r>
          </w:p>
          <w:p w:rsidR="00587F65" w:rsidRPr="00322C2D" w:rsidRDefault="00587F65" w:rsidP="0055464B">
            <w:pPr>
              <w:spacing w:after="0" w:line="240" w:lineRule="auto"/>
              <w:rPr>
                <w:rFonts w:ascii="Times New Roman" w:hAnsi="Times New Roman"/>
                <w:sz w:val="24"/>
                <w:szCs w:val="24"/>
              </w:rPr>
            </w:pPr>
          </w:p>
          <w:p w:rsidR="00587F65" w:rsidRPr="00806099" w:rsidRDefault="00587F65" w:rsidP="0055464B">
            <w:pPr>
              <w:spacing w:after="0" w:line="240" w:lineRule="auto"/>
              <w:rPr>
                <w:rFonts w:ascii="Times New Roman" w:hAnsi="Times New Roman"/>
                <w:b/>
                <w:color w:val="000000"/>
                <w:sz w:val="24"/>
                <w:szCs w:val="24"/>
              </w:rPr>
            </w:pPr>
            <w:r>
              <w:rPr>
                <w:rFonts w:ascii="Times New Roman" w:hAnsi="Times New Roman"/>
                <w:sz w:val="24"/>
                <w:szCs w:val="24"/>
              </w:rPr>
              <w:t>The International F</w:t>
            </w:r>
            <w:r w:rsidRPr="00322C2D">
              <w:rPr>
                <w:rFonts w:ascii="Times New Roman" w:hAnsi="Times New Roman"/>
                <w:sz w:val="24"/>
                <w:szCs w:val="24"/>
              </w:rPr>
              <w:t>inance Cooperation (IFC)</w:t>
            </w:r>
            <w:r>
              <w:rPr>
                <w:rFonts w:ascii="Times New Roman" w:hAnsi="Times New Roman"/>
                <w:sz w:val="24"/>
                <w:szCs w:val="24"/>
              </w:rPr>
              <w:t xml:space="preserve"> of the World Bank Group</w:t>
            </w:r>
            <w:r w:rsidRPr="00322C2D">
              <w:rPr>
                <w:rFonts w:ascii="Times New Roman" w:hAnsi="Times New Roman"/>
                <w:sz w:val="24"/>
                <w:szCs w:val="24"/>
              </w:rPr>
              <w:t xml:space="preserve"> is also very active in providing support for the real estate sector in the country. Under the SECO IFC Ghana Primary Mortgage Market Initiative, IFC is providing partial credit guarantees and advisory services to local banks, to help them </w:t>
            </w:r>
            <w:r>
              <w:rPr>
                <w:rFonts w:ascii="Times New Roman" w:hAnsi="Times New Roman"/>
                <w:sz w:val="24"/>
                <w:szCs w:val="24"/>
              </w:rPr>
              <w:t>p</w:t>
            </w:r>
            <w:r w:rsidRPr="00322C2D">
              <w:rPr>
                <w:rFonts w:ascii="Times New Roman" w:hAnsi="Times New Roman"/>
                <w:sz w:val="24"/>
                <w:szCs w:val="24"/>
              </w:rPr>
              <w:t>l</w:t>
            </w:r>
            <w:r>
              <w:rPr>
                <w:rFonts w:ascii="Times New Roman" w:hAnsi="Times New Roman"/>
                <w:sz w:val="24"/>
                <w:szCs w:val="24"/>
              </w:rPr>
              <w:t>a</w:t>
            </w:r>
            <w:r w:rsidRPr="00322C2D">
              <w:rPr>
                <w:rFonts w:ascii="Times New Roman" w:hAnsi="Times New Roman"/>
                <w:sz w:val="24"/>
                <w:szCs w:val="24"/>
              </w:rPr>
              <w:t>y an active role in the housing sector.</w:t>
            </w:r>
          </w:p>
          <w:p w:rsidR="00587F65" w:rsidRPr="00806099" w:rsidRDefault="00587F65" w:rsidP="0055464B">
            <w:pPr>
              <w:spacing w:after="0" w:line="240" w:lineRule="auto"/>
              <w:rPr>
                <w:rFonts w:ascii="Times New Roman" w:hAnsi="Times New Roman"/>
                <w:color w:val="000000"/>
                <w:sz w:val="24"/>
                <w:szCs w:val="24"/>
              </w:rPr>
            </w:pPr>
            <w:r w:rsidRPr="00806099">
              <w:rPr>
                <w:rFonts w:ascii="Times New Roman" w:hAnsi="Times New Roman"/>
                <w:color w:val="000000"/>
                <w:sz w:val="24"/>
                <w:szCs w:val="24"/>
              </w:rPr>
              <w:t xml:space="preserve"> </w:t>
            </w: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Pr="00806099"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Further information available</w:t>
            </w:r>
          </w:p>
          <w:p w:rsidR="00587F65" w:rsidRPr="00987352" w:rsidRDefault="00587F65" w:rsidP="008614AC">
            <w:pPr>
              <w:pStyle w:val="ListParagraph"/>
              <w:numPr>
                <w:ilvl w:val="0"/>
                <w:numId w:val="3"/>
              </w:numPr>
              <w:spacing w:after="0" w:line="240" w:lineRule="auto"/>
              <w:jc w:val="both"/>
              <w:rPr>
                <w:rFonts w:ascii="Times New Roman" w:hAnsi="Times New Roman"/>
                <w:sz w:val="24"/>
                <w:szCs w:val="24"/>
              </w:rPr>
            </w:pPr>
            <w:r w:rsidRPr="00987352">
              <w:rPr>
                <w:rFonts w:ascii="Times New Roman" w:hAnsi="Times New Roman"/>
                <w:sz w:val="24"/>
                <w:szCs w:val="24"/>
              </w:rPr>
              <w:t>Ghana Statistical Service: 2010 Population and Housing Census Summary o Final Results</w:t>
            </w:r>
            <w:r>
              <w:rPr>
                <w:rFonts w:ascii="Times New Roman" w:hAnsi="Times New Roman"/>
                <w:sz w:val="24"/>
                <w:szCs w:val="24"/>
              </w:rPr>
              <w:t>. May 2012</w:t>
            </w:r>
          </w:p>
          <w:p w:rsidR="00587F65" w:rsidRPr="00806099" w:rsidRDefault="00587F65" w:rsidP="008614AC">
            <w:pPr>
              <w:spacing w:after="0" w:line="240" w:lineRule="auto"/>
              <w:rPr>
                <w:rFonts w:ascii="Times New Roman" w:hAnsi="Times New Roman"/>
                <w:color w:val="000000"/>
                <w:sz w:val="24"/>
                <w:szCs w:val="24"/>
              </w:rPr>
            </w:pPr>
            <w:r w:rsidRPr="00987352">
              <w:rPr>
                <w:rFonts w:ascii="Times New Roman" w:hAnsi="Times New Roman"/>
                <w:sz w:val="24"/>
                <w:szCs w:val="24"/>
              </w:rPr>
              <w:t>Ghana Investment Promotion Centre: GIPC Act 418 (1994)</w:t>
            </w:r>
          </w:p>
        </w:tc>
      </w:tr>
      <w:tr w:rsidR="00587F65" w:rsidRPr="00806099">
        <w:tc>
          <w:tcPr>
            <w:tcW w:w="9212" w:type="dxa"/>
            <w:tcBorders>
              <w:top w:val="single" w:sz="4" w:space="0" w:color="auto"/>
              <w:left w:val="single" w:sz="4" w:space="0" w:color="auto"/>
              <w:bottom w:val="single" w:sz="4" w:space="0" w:color="auto"/>
              <w:right w:val="single" w:sz="4" w:space="0" w:color="auto"/>
            </w:tcBorders>
          </w:tcPr>
          <w:p w:rsidR="00587F65" w:rsidRPr="004926FE" w:rsidRDefault="00587F65" w:rsidP="0055464B">
            <w:pPr>
              <w:spacing w:after="0" w:line="240" w:lineRule="auto"/>
              <w:rPr>
                <w:rFonts w:ascii="Times New Roman" w:hAnsi="Times New Roman"/>
                <w:b/>
                <w:color w:val="000000"/>
                <w:sz w:val="24"/>
                <w:szCs w:val="24"/>
              </w:rPr>
            </w:pPr>
            <w:r w:rsidRPr="00806099">
              <w:rPr>
                <w:rFonts w:ascii="Times New Roman" w:hAnsi="Times New Roman"/>
                <w:b/>
                <w:color w:val="000000"/>
                <w:sz w:val="24"/>
                <w:szCs w:val="24"/>
              </w:rPr>
              <w:t>Last updated</w:t>
            </w:r>
            <w:r w:rsidR="004926FE">
              <w:rPr>
                <w:rFonts w:ascii="Times New Roman" w:hAnsi="Times New Roman"/>
                <w:b/>
                <w:color w:val="000000"/>
                <w:sz w:val="24"/>
                <w:szCs w:val="24"/>
              </w:rPr>
              <w:t xml:space="preserve">: </w:t>
            </w:r>
            <w:r>
              <w:rPr>
                <w:rFonts w:ascii="Times New Roman" w:hAnsi="Times New Roman"/>
                <w:color w:val="000000"/>
                <w:sz w:val="24"/>
                <w:szCs w:val="24"/>
              </w:rPr>
              <w:t>January 29, 2013</w:t>
            </w:r>
          </w:p>
        </w:tc>
      </w:tr>
    </w:tbl>
    <w:p w:rsidR="00587F65" w:rsidRDefault="00587F65"/>
    <w:p w:rsidR="00587F65" w:rsidRPr="009F5975" w:rsidRDefault="00587F65" w:rsidP="008614AC">
      <w:pPr>
        <w:spacing w:line="240" w:lineRule="auto"/>
        <w:rPr>
          <w:rFonts w:ascii="Times New Roman" w:hAnsi="Times New Roman"/>
          <w:color w:val="000000"/>
          <w:sz w:val="24"/>
          <w:szCs w:val="24"/>
        </w:rPr>
      </w:pPr>
      <w:r>
        <w:rPr>
          <w:rFonts w:ascii="Times New Roman" w:hAnsi="Times New Roman"/>
          <w:color w:val="000000"/>
          <w:sz w:val="24"/>
          <w:szCs w:val="24"/>
        </w:rPr>
        <w:t>This profile was prepared by the Kumasi Metropolitan Assembly’s investment promotion office, under the auspices of the Regional Partnership for Trade and Investment in sub-Saharan Africa, a project funded by the Government of Finland and implemented by the Millennium Cities Initiative (MCI)</w:t>
      </w:r>
    </w:p>
    <w:p w:rsidR="00587F65" w:rsidRDefault="00587F65"/>
    <w:p w:rsidR="00587F65" w:rsidRDefault="00587F65">
      <w:pPr>
        <w:rPr>
          <w:lang w:val="en-GB"/>
        </w:rPr>
      </w:pPr>
    </w:p>
    <w:p w:rsidR="00B213AC" w:rsidRPr="00891151" w:rsidRDefault="00B213AC">
      <w:pPr>
        <w:rPr>
          <w:lang w:val="en-GB"/>
        </w:rPr>
      </w:pPr>
    </w:p>
    <w:sectPr w:rsidR="00B213AC" w:rsidRPr="00891151" w:rsidSect="00B213A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79F8"/>
    <w:multiLevelType w:val="hybridMultilevel"/>
    <w:tmpl w:val="F4F64940"/>
    <w:lvl w:ilvl="0" w:tplc="AD7AC466">
      <w:start w:val="1"/>
      <w:numFmt w:val="bullet"/>
      <w:lvlText w:val=""/>
      <w:lvlJc w:val="left"/>
      <w:pPr>
        <w:ind w:left="720" w:hanging="360"/>
      </w:pPr>
      <w:rPr>
        <w:rFonts w:ascii="Symbol" w:hAnsi="Symbol"/>
      </w:rPr>
    </w:lvl>
    <w:lvl w:ilvl="1" w:tplc="23C2463E">
      <w:start w:val="1"/>
      <w:numFmt w:val="bullet"/>
      <w:lvlText w:val="o"/>
      <w:lvlJc w:val="left"/>
      <w:pPr>
        <w:ind w:left="1440" w:hanging="360"/>
      </w:pPr>
      <w:rPr>
        <w:rFonts w:ascii="Courier New" w:hAnsi="Courier New"/>
      </w:rPr>
    </w:lvl>
    <w:lvl w:ilvl="2" w:tplc="1EC83396">
      <w:start w:val="1"/>
      <w:numFmt w:val="bullet"/>
      <w:lvlText w:val=""/>
      <w:lvlJc w:val="left"/>
      <w:pPr>
        <w:ind w:left="2160" w:hanging="360"/>
      </w:pPr>
      <w:rPr>
        <w:rFonts w:ascii="Wingdings" w:hAnsi="Wingdings"/>
      </w:rPr>
    </w:lvl>
    <w:lvl w:ilvl="3" w:tplc="85023AEC">
      <w:start w:val="1"/>
      <w:numFmt w:val="bullet"/>
      <w:lvlText w:val=""/>
      <w:lvlJc w:val="left"/>
      <w:pPr>
        <w:ind w:left="2880" w:hanging="360"/>
      </w:pPr>
      <w:rPr>
        <w:rFonts w:ascii="Symbol" w:hAnsi="Symbol"/>
      </w:rPr>
    </w:lvl>
    <w:lvl w:ilvl="4" w:tplc="BB66B2B4">
      <w:start w:val="1"/>
      <w:numFmt w:val="bullet"/>
      <w:lvlText w:val="o"/>
      <w:lvlJc w:val="left"/>
      <w:pPr>
        <w:ind w:left="3600" w:hanging="360"/>
      </w:pPr>
      <w:rPr>
        <w:rFonts w:ascii="Courier New" w:hAnsi="Courier New"/>
      </w:rPr>
    </w:lvl>
    <w:lvl w:ilvl="5" w:tplc="22464E2C">
      <w:start w:val="1"/>
      <w:numFmt w:val="bullet"/>
      <w:lvlText w:val=""/>
      <w:lvlJc w:val="left"/>
      <w:pPr>
        <w:ind w:left="4320" w:hanging="360"/>
      </w:pPr>
      <w:rPr>
        <w:rFonts w:ascii="Wingdings" w:hAnsi="Wingdings"/>
      </w:rPr>
    </w:lvl>
    <w:lvl w:ilvl="6" w:tplc="7D2C94F2">
      <w:start w:val="1"/>
      <w:numFmt w:val="bullet"/>
      <w:lvlText w:val=""/>
      <w:lvlJc w:val="left"/>
      <w:pPr>
        <w:ind w:left="5040" w:hanging="360"/>
      </w:pPr>
      <w:rPr>
        <w:rFonts w:ascii="Symbol" w:hAnsi="Symbol"/>
      </w:rPr>
    </w:lvl>
    <w:lvl w:ilvl="7" w:tplc="928A2FBA">
      <w:start w:val="1"/>
      <w:numFmt w:val="bullet"/>
      <w:lvlText w:val="o"/>
      <w:lvlJc w:val="left"/>
      <w:pPr>
        <w:ind w:left="5760" w:hanging="360"/>
      </w:pPr>
      <w:rPr>
        <w:rFonts w:ascii="Courier New" w:hAnsi="Courier New"/>
      </w:rPr>
    </w:lvl>
    <w:lvl w:ilvl="8" w:tplc="4CD2864C">
      <w:start w:val="1"/>
      <w:numFmt w:val="bullet"/>
      <w:lvlText w:val=""/>
      <w:lvlJc w:val="left"/>
      <w:pPr>
        <w:ind w:left="6480" w:hanging="360"/>
      </w:pPr>
      <w:rPr>
        <w:rFonts w:ascii="Wingdings" w:hAnsi="Wingdings"/>
      </w:rPr>
    </w:lvl>
  </w:abstractNum>
  <w:abstractNum w:abstractNumId="1">
    <w:nsid w:val="6E557404"/>
    <w:multiLevelType w:val="hybridMultilevel"/>
    <w:tmpl w:val="022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B3D2B"/>
    <w:multiLevelType w:val="hybridMultilevel"/>
    <w:tmpl w:val="A44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oNotTrackMoves/>
  <w:defaultTabStop w:val="720"/>
  <w:characterSpacingControl w:val="doNotCompress"/>
  <w:compat/>
  <w:rsids>
    <w:rsidRoot w:val="00D8731F"/>
    <w:rsid w:val="00002872"/>
    <w:rsid w:val="00032F63"/>
    <w:rsid w:val="000B5C91"/>
    <w:rsid w:val="00206353"/>
    <w:rsid w:val="003E083F"/>
    <w:rsid w:val="003E7C73"/>
    <w:rsid w:val="004926FE"/>
    <w:rsid w:val="00587F65"/>
    <w:rsid w:val="0068619B"/>
    <w:rsid w:val="00891151"/>
    <w:rsid w:val="00942AAF"/>
    <w:rsid w:val="009C64CC"/>
    <w:rsid w:val="00AD55BE"/>
    <w:rsid w:val="00B04DD4"/>
    <w:rsid w:val="00B213AC"/>
    <w:rsid w:val="00CD17F7"/>
    <w:rsid w:val="00D8731F"/>
    <w:rsid w:val="00EE2164"/>
    <w:rsid w:val="00FD4BB3"/>
    <w:rsid w:val="00FE744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1F"/>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mmentText">
    <w:name w:val="annotation text"/>
    <w:basedOn w:val="Normal"/>
    <w:link w:val="CommentTextChar"/>
    <w:unhideWhenUsed/>
    <w:rsid w:val="00D8731F"/>
    <w:pPr>
      <w:spacing w:line="240" w:lineRule="auto"/>
    </w:pPr>
    <w:rPr>
      <w:sz w:val="20"/>
      <w:szCs w:val="20"/>
    </w:rPr>
  </w:style>
  <w:style w:type="character" w:customStyle="1" w:styleId="CommentTextChar">
    <w:name w:val="Comment Text Char"/>
    <w:basedOn w:val="DefaultParagraphFont"/>
    <w:link w:val="CommentText"/>
    <w:rsid w:val="00D8731F"/>
    <w:rPr>
      <w:rFonts w:ascii="Calibri" w:eastAsia="Calibri" w:hAnsi="Calibri" w:cs="Times New Roman"/>
      <w:sz w:val="20"/>
      <w:szCs w:val="20"/>
    </w:rPr>
  </w:style>
  <w:style w:type="paragraph" w:customStyle="1" w:styleId="NoSpacing1">
    <w:name w:val="No Spacing1"/>
    <w:uiPriority w:val="1"/>
    <w:qFormat/>
    <w:rsid w:val="00D8731F"/>
    <w:pPr>
      <w:spacing w:after="0" w:line="240" w:lineRule="auto"/>
    </w:pPr>
    <w:rPr>
      <w:rFonts w:ascii="Calibri" w:eastAsia="Calibri" w:hAnsi="Calibri" w:cs="Times New Roman"/>
    </w:rPr>
  </w:style>
  <w:style w:type="character" w:styleId="CommentReference">
    <w:name w:val="annotation reference"/>
    <w:semiHidden/>
    <w:unhideWhenUsed/>
    <w:rsid w:val="00D8731F"/>
    <w:rPr>
      <w:sz w:val="16"/>
      <w:szCs w:val="16"/>
    </w:rPr>
  </w:style>
  <w:style w:type="paragraph" w:styleId="NormalWeb">
    <w:name w:val="Normal (Web)"/>
    <w:basedOn w:val="Normal"/>
    <w:uiPriority w:val="99"/>
    <w:semiHidden/>
    <w:unhideWhenUsed/>
    <w:rsid w:val="00D8731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D8731F"/>
    <w:pPr>
      <w:spacing w:after="0" w:line="240" w:lineRule="auto"/>
    </w:pPr>
    <w:rPr>
      <w:rFonts w:ascii="Calibri" w:eastAsia="Calibri" w:hAnsi="Calibri" w:cs="Times New Roman"/>
      <w:lang w:val="cs-CZ"/>
    </w:rPr>
  </w:style>
  <w:style w:type="paragraph" w:styleId="BalloonText">
    <w:name w:val="Balloon Text"/>
    <w:basedOn w:val="Normal"/>
    <w:link w:val="BalloonTextChar"/>
    <w:uiPriority w:val="99"/>
    <w:semiHidden/>
    <w:unhideWhenUsed/>
    <w:rsid w:val="00D8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1F"/>
    <w:rPr>
      <w:rFonts w:ascii="Tahoma" w:eastAsia="Calibri" w:hAnsi="Tahoma" w:cs="Tahoma"/>
      <w:sz w:val="16"/>
      <w:szCs w:val="16"/>
    </w:rPr>
  </w:style>
  <w:style w:type="table" w:styleId="TableGrid">
    <w:name w:val="Table Grid"/>
    <w:basedOn w:val="TableNormal"/>
    <w:uiPriority w:val="59"/>
    <w:rsid w:val="00587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65"/>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barChart>
        <c:barDir val="col"/>
        <c:grouping val="clustered"/>
        <c:ser>
          <c:idx val="0"/>
          <c:order val="0"/>
          <c:tx>
            <c:strRef>
              <c:f>Sheet1!$B$17</c:f>
              <c:strCache>
                <c:ptCount val="1"/>
                <c:pt idx="0">
                  <c:v>Off Reserve</c:v>
                </c:pt>
              </c:strCache>
            </c:strRef>
          </c:tx>
          <c:cat>
            <c:numRef>
              <c:f>Sheet1!$A$18:$A$23</c:f>
              <c:numCache>
                <c:formatCode>General</c:formatCode>
                <c:ptCount val="6"/>
                <c:pt idx="0">
                  <c:v>2000.0</c:v>
                </c:pt>
                <c:pt idx="1">
                  <c:v>2001.0</c:v>
                </c:pt>
                <c:pt idx="2">
                  <c:v>2002.0</c:v>
                </c:pt>
                <c:pt idx="3">
                  <c:v>2003.0</c:v>
                </c:pt>
                <c:pt idx="4">
                  <c:v>2004.0</c:v>
                </c:pt>
                <c:pt idx="5">
                  <c:v>2005.0</c:v>
                </c:pt>
              </c:numCache>
            </c:numRef>
          </c:cat>
          <c:val>
            <c:numRef>
              <c:f>Sheet1!$B$18:$B$23</c:f>
              <c:numCache>
                <c:formatCode>General</c:formatCode>
                <c:ptCount val="6"/>
                <c:pt idx="0">
                  <c:v>95000.0</c:v>
                </c:pt>
                <c:pt idx="1">
                  <c:v>118000.0</c:v>
                </c:pt>
                <c:pt idx="2">
                  <c:v>130000.0</c:v>
                </c:pt>
                <c:pt idx="3">
                  <c:v>115000.0</c:v>
                </c:pt>
                <c:pt idx="4">
                  <c:v>91000.0</c:v>
                </c:pt>
                <c:pt idx="5">
                  <c:v>89000.0</c:v>
                </c:pt>
              </c:numCache>
            </c:numRef>
          </c:val>
        </c:ser>
        <c:ser>
          <c:idx val="1"/>
          <c:order val="1"/>
          <c:tx>
            <c:strRef>
              <c:f>Sheet1!$C$17</c:f>
              <c:strCache>
                <c:ptCount val="1"/>
                <c:pt idx="0">
                  <c:v>Forest Reserve</c:v>
                </c:pt>
              </c:strCache>
            </c:strRef>
          </c:tx>
          <c:cat>
            <c:numRef>
              <c:f>Sheet1!$A$18:$A$23</c:f>
              <c:numCache>
                <c:formatCode>General</c:formatCode>
                <c:ptCount val="6"/>
                <c:pt idx="0">
                  <c:v>2000.0</c:v>
                </c:pt>
                <c:pt idx="1">
                  <c:v>2001.0</c:v>
                </c:pt>
                <c:pt idx="2">
                  <c:v>2002.0</c:v>
                </c:pt>
                <c:pt idx="3">
                  <c:v>2003.0</c:v>
                </c:pt>
                <c:pt idx="4">
                  <c:v>2004.0</c:v>
                </c:pt>
                <c:pt idx="5">
                  <c:v>2005.0</c:v>
                </c:pt>
              </c:numCache>
            </c:numRef>
          </c:cat>
          <c:val>
            <c:numRef>
              <c:f>Sheet1!$C$18:$C$23</c:f>
              <c:numCache>
                <c:formatCode>General</c:formatCode>
                <c:ptCount val="6"/>
                <c:pt idx="0">
                  <c:v>58000.0</c:v>
                </c:pt>
                <c:pt idx="1">
                  <c:v>68000.0</c:v>
                </c:pt>
                <c:pt idx="2">
                  <c:v>70000.0</c:v>
                </c:pt>
                <c:pt idx="3">
                  <c:v>69000.0</c:v>
                </c:pt>
                <c:pt idx="4">
                  <c:v>69000.0</c:v>
                </c:pt>
                <c:pt idx="5">
                  <c:v>60000.0</c:v>
                </c:pt>
              </c:numCache>
            </c:numRef>
          </c:val>
        </c:ser>
        <c:axId val="533571720"/>
        <c:axId val="591905384"/>
      </c:barChart>
      <c:catAx>
        <c:axId val="533571720"/>
        <c:scaling>
          <c:orientation val="minMax"/>
        </c:scaling>
        <c:axPos val="b"/>
        <c:numFmt formatCode="General" sourceLinked="1"/>
        <c:tickLblPos val="nextTo"/>
        <c:crossAx val="591905384"/>
        <c:crosses val="autoZero"/>
        <c:auto val="1"/>
        <c:lblAlgn val="ctr"/>
        <c:lblOffset val="100"/>
      </c:catAx>
      <c:valAx>
        <c:axId val="591905384"/>
        <c:scaling>
          <c:orientation val="minMax"/>
        </c:scaling>
        <c:axPos val="l"/>
        <c:majorGridlines/>
        <c:numFmt formatCode="General" sourceLinked="1"/>
        <c:tickLblPos val="nextTo"/>
        <c:crossAx val="53357172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Sheet1!$B$3</c:f>
              <c:strCache>
                <c:ptCount val="1"/>
                <c:pt idx="0">
                  <c:v>Wood</c:v>
                </c:pt>
              </c:strCache>
            </c:strRef>
          </c:tx>
          <c:marker>
            <c:symbol val="none"/>
          </c:marker>
          <c:cat>
            <c:strRef>
              <c:f>Sheet1!$A$4:$A$9</c:f>
              <c:strCache>
                <c:ptCount val="6"/>
                <c:pt idx="0">
                  <c:v>20 05</c:v>
                </c:pt>
                <c:pt idx="1">
                  <c:v>20 06</c:v>
                </c:pt>
                <c:pt idx="2">
                  <c:v>20 07</c:v>
                </c:pt>
                <c:pt idx="3">
                  <c:v>20 08</c:v>
                </c:pt>
                <c:pt idx="4">
                  <c:v>20 09</c:v>
                </c:pt>
                <c:pt idx="5">
                  <c:v>20 10</c:v>
                </c:pt>
              </c:strCache>
            </c:strRef>
          </c:cat>
          <c:val>
            <c:numRef>
              <c:f>Sheet1!$B$4:$B$9</c:f>
              <c:numCache>
                <c:formatCode>General</c:formatCode>
                <c:ptCount val="6"/>
                <c:pt idx="0">
                  <c:v>3.64368732E6</c:v>
                </c:pt>
                <c:pt idx="1">
                  <c:v>6.317478E6</c:v>
                </c:pt>
                <c:pt idx="2">
                  <c:v>1.0562415E7</c:v>
                </c:pt>
                <c:pt idx="3">
                  <c:v>1.2657851E7</c:v>
                </c:pt>
                <c:pt idx="4">
                  <c:v>9.42522278571429E6</c:v>
                </c:pt>
                <c:pt idx="5">
                  <c:v>1.199328584E7</c:v>
                </c:pt>
              </c:numCache>
            </c:numRef>
          </c:val>
        </c:ser>
        <c:ser>
          <c:idx val="1"/>
          <c:order val="1"/>
          <c:tx>
            <c:strRef>
              <c:f>Sheet1!$C$3</c:f>
              <c:strCache>
                <c:ptCount val="1"/>
                <c:pt idx="0">
                  <c:v>Metal</c:v>
                </c:pt>
              </c:strCache>
            </c:strRef>
          </c:tx>
          <c:marker>
            <c:symbol val="none"/>
          </c:marker>
          <c:cat>
            <c:strRef>
              <c:f>Sheet1!$A$4:$A$9</c:f>
              <c:strCache>
                <c:ptCount val="6"/>
                <c:pt idx="0">
                  <c:v>20 05</c:v>
                </c:pt>
                <c:pt idx="1">
                  <c:v>20 06</c:v>
                </c:pt>
                <c:pt idx="2">
                  <c:v>20 07</c:v>
                </c:pt>
                <c:pt idx="3">
                  <c:v>20 08</c:v>
                </c:pt>
                <c:pt idx="4">
                  <c:v>20 09</c:v>
                </c:pt>
                <c:pt idx="5">
                  <c:v>20 10</c:v>
                </c:pt>
              </c:strCache>
            </c:strRef>
          </c:cat>
          <c:val>
            <c:numRef>
              <c:f>Sheet1!$C$4:$C$9</c:f>
              <c:numCache>
                <c:formatCode>General</c:formatCode>
                <c:ptCount val="6"/>
                <c:pt idx="0">
                  <c:v>2.27158204E6</c:v>
                </c:pt>
                <c:pt idx="1">
                  <c:v>3.438516E6</c:v>
                </c:pt>
                <c:pt idx="2">
                  <c:v>4.50710736E6</c:v>
                </c:pt>
                <c:pt idx="3">
                  <c:v>5.0660583E6</c:v>
                </c:pt>
                <c:pt idx="4">
                  <c:v>4.77468222142857E6</c:v>
                </c:pt>
                <c:pt idx="5">
                  <c:v>3.781502276E6</c:v>
                </c:pt>
              </c:numCache>
            </c:numRef>
          </c:val>
        </c:ser>
        <c:marker val="1"/>
        <c:axId val="592244008"/>
        <c:axId val="590554792"/>
      </c:lineChart>
      <c:catAx>
        <c:axId val="592244008"/>
        <c:scaling>
          <c:orientation val="minMax"/>
        </c:scaling>
        <c:axPos val="b"/>
        <c:tickLblPos val="nextTo"/>
        <c:crossAx val="590554792"/>
        <c:crosses val="autoZero"/>
        <c:auto val="1"/>
        <c:lblAlgn val="ctr"/>
        <c:lblOffset val="100"/>
      </c:catAx>
      <c:valAx>
        <c:axId val="590554792"/>
        <c:scaling>
          <c:orientation val="minMax"/>
        </c:scaling>
        <c:axPos val="l"/>
        <c:majorGridlines/>
        <c:numFmt formatCode="General" sourceLinked="1"/>
        <c:tickLblPos val="nextTo"/>
        <c:crossAx val="592244008"/>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lineChart>
        <c:grouping val="standard"/>
        <c:ser>
          <c:idx val="0"/>
          <c:order val="0"/>
          <c:marker>
            <c:symbol val="none"/>
          </c:marker>
          <c:cat>
            <c:numRef>
              <c:f>[Book1]Sheet1!$A$4:$A$13</c:f>
              <c:numCache>
                <c:formatCode>General</c:formatCode>
                <c:ptCount val="10"/>
                <c:pt idx="0">
                  <c:v>2000.0</c:v>
                </c:pt>
                <c:pt idx="1">
                  <c:v>2001.0</c:v>
                </c:pt>
                <c:pt idx="2">
                  <c:v>2002.0</c:v>
                </c:pt>
                <c:pt idx="3">
                  <c:v>2003.0</c:v>
                </c:pt>
                <c:pt idx="4">
                  <c:v>2004.0</c:v>
                </c:pt>
                <c:pt idx="5">
                  <c:v>2005.0</c:v>
                </c:pt>
                <c:pt idx="6">
                  <c:v>2006.0</c:v>
                </c:pt>
                <c:pt idx="7">
                  <c:v>2007.0</c:v>
                </c:pt>
                <c:pt idx="8">
                  <c:v>2009.0</c:v>
                </c:pt>
                <c:pt idx="9">
                  <c:v>2010.0</c:v>
                </c:pt>
              </c:numCache>
            </c:numRef>
          </c:cat>
          <c:val>
            <c:numRef>
              <c:f>[Book1]Sheet1!$B$4:$B$13</c:f>
              <c:numCache>
                <c:formatCode>General</c:formatCode>
                <c:ptCount val="10"/>
                <c:pt idx="0" formatCode="_-* #,##0_-;\-* #,##0_-;_-* &quot;-&quot;??_-;_-@_-">
                  <c:v>5.2115595817E6</c:v>
                </c:pt>
                <c:pt idx="1">
                  <c:v>6.945951E6</c:v>
                </c:pt>
                <c:pt idx="2">
                  <c:v>6.038283E6</c:v>
                </c:pt>
                <c:pt idx="3">
                  <c:v>1.1091675E7</c:v>
                </c:pt>
                <c:pt idx="4">
                  <c:v>8.5393935E6</c:v>
                </c:pt>
                <c:pt idx="5">
                  <c:v>1.0231667E7</c:v>
                </c:pt>
                <c:pt idx="6">
                  <c:v>1.2614983E7</c:v>
                </c:pt>
                <c:pt idx="7">
                  <c:v>1.33833747E7</c:v>
                </c:pt>
                <c:pt idx="8">
                  <c:v>1.5480764E7</c:v>
                </c:pt>
                <c:pt idx="9">
                  <c:v>1.56800446E7</c:v>
                </c:pt>
              </c:numCache>
            </c:numRef>
          </c:val>
        </c:ser>
        <c:marker val="1"/>
        <c:axId val="493969512"/>
        <c:axId val="493995672"/>
      </c:lineChart>
      <c:catAx>
        <c:axId val="493969512"/>
        <c:scaling>
          <c:orientation val="minMax"/>
        </c:scaling>
        <c:axPos val="b"/>
        <c:numFmt formatCode="General" sourceLinked="1"/>
        <c:tickLblPos val="nextTo"/>
        <c:crossAx val="493995672"/>
        <c:crosses val="autoZero"/>
        <c:auto val="1"/>
        <c:lblAlgn val="ctr"/>
        <c:lblOffset val="100"/>
      </c:catAx>
      <c:valAx>
        <c:axId val="493995672"/>
        <c:scaling>
          <c:orientation val="minMax"/>
        </c:scaling>
        <c:axPos val="l"/>
        <c:majorGridlines/>
        <c:numFmt formatCode="_-* #,##0_-;\-* #,##0_-;_-* &quot;-&quot;??_-;_-@_-" sourceLinked="1"/>
        <c:tickLblPos val="nextTo"/>
        <c:crossAx val="49396951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0"/>
  <c:chart>
    <c:view3D>
      <c:rAngAx val="1"/>
    </c:view3D>
    <c:plotArea>
      <c:layout>
        <c:manualLayout>
          <c:layoutTarget val="inner"/>
          <c:xMode val="edge"/>
          <c:yMode val="edge"/>
          <c:x val="0.121363517060367"/>
          <c:y val="0.0282524059492563"/>
          <c:w val="0.878636482939633"/>
          <c:h val="0.606313838270851"/>
        </c:manualLayout>
      </c:layout>
      <c:bar3DChart>
        <c:barDir val="col"/>
        <c:grouping val="stacked"/>
        <c:ser>
          <c:idx val="0"/>
          <c:order val="0"/>
          <c:dLbls>
            <c:showVal val="1"/>
          </c:dLbls>
          <c:cat>
            <c:strRef>
              <c:f>Sheet1!$A$1:$A$5</c:f>
              <c:strCache>
                <c:ptCount val="5"/>
                <c:pt idx="0">
                  <c:v>Dual Nationality </c:v>
                </c:pt>
                <c:pt idx="1">
                  <c:v>Ghanaian by naturalization</c:v>
                </c:pt>
                <c:pt idx="2">
                  <c:v>Non Africans</c:v>
                </c:pt>
                <c:pt idx="3">
                  <c:v>African, other than ECOWAS</c:v>
                </c:pt>
                <c:pt idx="4">
                  <c:v>ECOWAS</c:v>
                </c:pt>
              </c:strCache>
            </c:strRef>
          </c:cat>
          <c:val>
            <c:numRef>
              <c:f>Sheet1!$B$1:$B$5</c:f>
              <c:numCache>
                <c:formatCode>#,##0</c:formatCode>
                <c:ptCount val="5"/>
                <c:pt idx="0">
                  <c:v>100155.0</c:v>
                </c:pt>
                <c:pt idx="1">
                  <c:v>34327.0</c:v>
                </c:pt>
                <c:pt idx="2">
                  <c:v>17104.0</c:v>
                </c:pt>
                <c:pt idx="3">
                  <c:v>22656.0</c:v>
                </c:pt>
                <c:pt idx="4">
                  <c:v>75644.0</c:v>
                </c:pt>
              </c:numCache>
            </c:numRef>
          </c:val>
        </c:ser>
        <c:dLbls>
          <c:showVal val="1"/>
        </c:dLbls>
        <c:gapWidth val="75"/>
        <c:shape val="cylinder"/>
        <c:axId val="648294216"/>
        <c:axId val="648237096"/>
        <c:axId val="0"/>
      </c:bar3DChart>
      <c:catAx>
        <c:axId val="648294216"/>
        <c:scaling>
          <c:orientation val="minMax"/>
        </c:scaling>
        <c:axPos val="b"/>
        <c:majorTickMark val="none"/>
        <c:tickLblPos val="nextTo"/>
        <c:crossAx val="648237096"/>
        <c:crosses val="autoZero"/>
        <c:auto val="1"/>
        <c:lblAlgn val="ctr"/>
        <c:lblOffset val="100"/>
      </c:catAx>
      <c:valAx>
        <c:axId val="648237096"/>
        <c:scaling>
          <c:orientation val="minMax"/>
        </c:scaling>
        <c:axPos val="l"/>
        <c:numFmt formatCode="#,##0" sourceLinked="1"/>
        <c:majorTickMark val="none"/>
        <c:tickLblPos val="nextTo"/>
        <c:crossAx val="64829421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6243</Words>
  <Characters>35590</Characters>
  <Application>Microsoft Macintosh Word</Application>
  <DocSecurity>0</DocSecurity>
  <Lines>296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dc:creator>
  <cp:lastModifiedBy>Ginny Wiehardt</cp:lastModifiedBy>
  <cp:revision>8</cp:revision>
  <cp:lastPrinted>2013-02-02T01:17:00Z</cp:lastPrinted>
  <dcterms:created xsi:type="dcterms:W3CDTF">2013-08-28T19:05:00Z</dcterms:created>
  <dcterms:modified xsi:type="dcterms:W3CDTF">2013-08-28T19:27:00Z</dcterms:modified>
</cp:coreProperties>
</file>